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97" w:rsidRPr="008E4F93" w:rsidRDefault="004B4997" w:rsidP="00A96ED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4B4997" w:rsidRPr="008E4F93" w:rsidRDefault="004B4997" w:rsidP="00A96ED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4B4997" w:rsidRPr="008E4F93" w:rsidRDefault="004B4997" w:rsidP="00A96ED4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4B4997" w:rsidRDefault="004B4997" w:rsidP="00A96ED4">
      <w:pPr>
        <w:jc w:val="center"/>
        <w:rPr>
          <w:b/>
          <w:bCs/>
          <w:sz w:val="28"/>
          <w:szCs w:val="28"/>
        </w:rPr>
      </w:pPr>
    </w:p>
    <w:p w:rsidR="004B4997" w:rsidRDefault="004B4997" w:rsidP="00A96E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4B4997" w:rsidRDefault="004B4997" w:rsidP="00A96ED4">
      <w:pPr>
        <w:jc w:val="center"/>
        <w:rPr>
          <w:sz w:val="28"/>
          <w:szCs w:val="28"/>
        </w:rPr>
      </w:pPr>
    </w:p>
    <w:p w:rsidR="004B4997" w:rsidRDefault="004B4997" w:rsidP="00A96ED4">
      <w:pPr>
        <w:rPr>
          <w:sz w:val="28"/>
          <w:szCs w:val="28"/>
        </w:rPr>
      </w:pPr>
      <w:r>
        <w:rPr>
          <w:sz w:val="28"/>
          <w:szCs w:val="28"/>
        </w:rPr>
        <w:t xml:space="preserve">          20.04.2016 № 234-па</w:t>
      </w:r>
    </w:p>
    <w:p w:rsidR="004B4997" w:rsidRPr="006C7D55" w:rsidRDefault="004B4997" w:rsidP="00A96E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4B4997" w:rsidRDefault="004B4997" w:rsidP="00A96ED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997" w:rsidRDefault="004B4997" w:rsidP="00021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</w:t>
      </w:r>
      <w:r w:rsidRPr="00225A40">
        <w:rPr>
          <w:rFonts w:ascii="Times New Roman" w:hAnsi="Times New Roman" w:cs="Times New Roman"/>
          <w:sz w:val="28"/>
          <w:szCs w:val="28"/>
        </w:rPr>
        <w:t xml:space="preserve">екторе по физической культуре, </w:t>
      </w:r>
    </w:p>
    <w:p w:rsidR="004B4997" w:rsidRDefault="004B4997" w:rsidP="00021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5A40">
        <w:rPr>
          <w:rFonts w:ascii="Times New Roman" w:hAnsi="Times New Roman" w:cs="Times New Roman"/>
          <w:sz w:val="28"/>
          <w:szCs w:val="28"/>
        </w:rPr>
        <w:t>спорту и туризму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A4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4B4997" w:rsidRPr="003E20F8" w:rsidRDefault="004B4997" w:rsidP="00021A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4B4997" w:rsidRPr="003E20F8" w:rsidRDefault="004B4997" w:rsidP="003E20F8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997" w:rsidRDefault="004B4997" w:rsidP="00A64800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sz w:val="28"/>
          <w:szCs w:val="28"/>
        </w:rPr>
      </w:pPr>
      <w:r w:rsidRPr="0047562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 октября 2003г.</w:t>
      </w:r>
      <w:r w:rsidRPr="00E5639E">
        <w:rPr>
          <w:sz w:val="28"/>
          <w:szCs w:val="28"/>
        </w:rPr>
        <w:t xml:space="preserve"> </w:t>
      </w:r>
      <w:r>
        <w:rPr>
          <w:sz w:val="28"/>
          <w:szCs w:val="28"/>
        </w:rPr>
        <w:t>№131- ФЗ «Об общих принципах организации местного самоуправления в Российской Федерации», Федеральным Законом от 02 марта 2007 года</w:t>
      </w:r>
      <w:r w:rsidRPr="00D93D75">
        <w:rPr>
          <w:sz w:val="28"/>
          <w:szCs w:val="28"/>
        </w:rPr>
        <w:t xml:space="preserve"> </w:t>
      </w:r>
      <w:r>
        <w:rPr>
          <w:sz w:val="28"/>
          <w:szCs w:val="28"/>
        </w:rPr>
        <w:t>№25-</w:t>
      </w:r>
      <w:r w:rsidRPr="00D93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 Муниципальной службе в Российской Федерации»,  Законом Магаданской области от 2 ноября 2007 г. №900-ОЗ «О муниципальной службе в Магаданской области», </w:t>
      </w:r>
      <w:r w:rsidRPr="0047562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«Тенькинский</w:t>
      </w:r>
      <w:r w:rsidRPr="0047562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Pr="00225A4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округ»</w:t>
      </w:r>
      <w:r w:rsidRPr="0047562E">
        <w:rPr>
          <w:sz w:val="28"/>
          <w:szCs w:val="28"/>
        </w:rPr>
        <w:t xml:space="preserve"> Магаданской области, </w:t>
      </w:r>
      <w:r>
        <w:rPr>
          <w:sz w:val="28"/>
          <w:szCs w:val="28"/>
        </w:rPr>
        <w:t xml:space="preserve">решением  Тенькинского районного Собрания представителей от 23.12.2015 г. №61 «Об утверждении структуры администрации Тенькинского городского округа Магаданской области», </w:t>
      </w:r>
      <w:r w:rsidRPr="0047562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Тенькинского </w:t>
      </w:r>
      <w:r w:rsidRPr="00225A4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Магаданской области</w:t>
      </w:r>
    </w:p>
    <w:p w:rsidR="004B4997" w:rsidRPr="00021AF1" w:rsidRDefault="004B4997" w:rsidP="00A6480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562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7562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 </w:t>
      </w:r>
      <w:r w:rsidRPr="0047562E">
        <w:rPr>
          <w:b/>
          <w:bCs/>
          <w:sz w:val="28"/>
          <w:szCs w:val="28"/>
        </w:rPr>
        <w:t>:</w:t>
      </w:r>
    </w:p>
    <w:p w:rsidR="004B4997" w:rsidRPr="003E20F8" w:rsidRDefault="004B4997" w:rsidP="006E5D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</w:t>
      </w:r>
      <w:r w:rsidRPr="00225A40">
        <w:rPr>
          <w:sz w:val="28"/>
          <w:szCs w:val="28"/>
        </w:rPr>
        <w:t>екторе по физической культуре, спорту и туризму администрации Тенькинского городского округа</w:t>
      </w:r>
      <w:r w:rsidRPr="003E20F8">
        <w:rPr>
          <w:sz w:val="28"/>
          <w:szCs w:val="28"/>
        </w:rPr>
        <w:t xml:space="preserve"> Магаданской обл</w:t>
      </w:r>
      <w:r>
        <w:rPr>
          <w:sz w:val="28"/>
          <w:szCs w:val="28"/>
        </w:rPr>
        <w:t xml:space="preserve">асти согласно </w:t>
      </w:r>
      <w:r w:rsidRPr="003E20F8">
        <w:rPr>
          <w:sz w:val="28"/>
          <w:szCs w:val="28"/>
        </w:rPr>
        <w:t>приложению.</w:t>
      </w:r>
    </w:p>
    <w:p w:rsidR="004B4997" w:rsidRPr="00683A73" w:rsidRDefault="004B4997" w:rsidP="006E5D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3A73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Тенькинского городского округа Магаданской области по вопросам социальной политики С.</w:t>
      </w:r>
      <w:r>
        <w:rPr>
          <w:sz w:val="28"/>
          <w:szCs w:val="28"/>
        </w:rPr>
        <w:t xml:space="preserve"> </w:t>
      </w:r>
      <w:r w:rsidRPr="00683A73">
        <w:rPr>
          <w:sz w:val="28"/>
          <w:szCs w:val="28"/>
        </w:rPr>
        <w:t>Ф. Сакееву.</w:t>
      </w:r>
    </w:p>
    <w:p w:rsidR="004B4997" w:rsidRDefault="004B4997" w:rsidP="006E5DBA">
      <w:pPr>
        <w:spacing w:line="360" w:lineRule="auto"/>
        <w:ind w:firstLine="708"/>
        <w:jc w:val="both"/>
        <w:rPr>
          <w:sz w:val="28"/>
          <w:szCs w:val="28"/>
        </w:rPr>
      </w:pPr>
      <w:r w:rsidRPr="00C65E7E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</w:p>
    <w:p w:rsidR="004B4997" w:rsidRPr="0047562E" w:rsidRDefault="004B4997" w:rsidP="00FD4E6E">
      <w:pPr>
        <w:spacing w:line="360" w:lineRule="auto"/>
        <w:jc w:val="both"/>
        <w:rPr>
          <w:sz w:val="28"/>
          <w:szCs w:val="28"/>
        </w:rPr>
      </w:pPr>
    </w:p>
    <w:p w:rsidR="004B4997" w:rsidRDefault="004B4997" w:rsidP="0029090D">
      <w:pPr>
        <w:spacing w:line="360" w:lineRule="auto"/>
        <w:jc w:val="both"/>
        <w:rPr>
          <w:sz w:val="28"/>
          <w:szCs w:val="28"/>
        </w:rPr>
        <w:sectPr w:rsidR="004B4997" w:rsidSect="00A96ED4">
          <w:headerReference w:type="default" r:id="rId7"/>
          <w:pgSz w:w="11909" w:h="16834"/>
          <w:pgMar w:top="1134" w:right="833" w:bottom="567" w:left="1701" w:header="720" w:footer="720" w:gutter="0"/>
          <w:cols w:space="708"/>
          <w:noEndnote/>
          <w:titlePg/>
          <w:docGrid w:linePitch="212"/>
        </w:sectPr>
      </w:pPr>
      <w:r w:rsidRPr="00683A73">
        <w:rPr>
          <w:sz w:val="28"/>
          <w:szCs w:val="28"/>
        </w:rPr>
        <w:t xml:space="preserve">Глава Тенькинского городского округа                      </w:t>
      </w:r>
      <w:r>
        <w:rPr>
          <w:sz w:val="28"/>
          <w:szCs w:val="28"/>
        </w:rPr>
        <w:t xml:space="preserve">                   И.С. Бережной</w:t>
      </w:r>
    </w:p>
    <w:tbl>
      <w:tblPr>
        <w:tblW w:w="0" w:type="auto"/>
        <w:tblInd w:w="-106" w:type="dxa"/>
        <w:tblLook w:val="01E0"/>
      </w:tblPr>
      <w:tblGrid>
        <w:gridCol w:w="4795"/>
        <w:gridCol w:w="4796"/>
      </w:tblGrid>
      <w:tr w:rsidR="004B4997">
        <w:tc>
          <w:tcPr>
            <w:tcW w:w="4795" w:type="dxa"/>
          </w:tcPr>
          <w:p w:rsidR="004B4997" w:rsidRPr="007C0B8D" w:rsidRDefault="004B4997" w:rsidP="007C0B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4B4997" w:rsidRPr="007C0B8D" w:rsidRDefault="004B4997" w:rsidP="00362F4F">
            <w:pPr>
              <w:jc w:val="center"/>
              <w:rPr>
                <w:sz w:val="28"/>
                <w:szCs w:val="28"/>
              </w:rPr>
            </w:pPr>
            <w:r w:rsidRPr="007C0B8D">
              <w:rPr>
                <w:sz w:val="28"/>
                <w:szCs w:val="28"/>
              </w:rPr>
              <w:t>Утверждено</w:t>
            </w:r>
          </w:p>
          <w:p w:rsidR="004B4997" w:rsidRPr="007C0B8D" w:rsidRDefault="004B4997" w:rsidP="00362F4F">
            <w:pPr>
              <w:jc w:val="center"/>
              <w:rPr>
                <w:sz w:val="28"/>
                <w:szCs w:val="28"/>
              </w:rPr>
            </w:pPr>
            <w:r w:rsidRPr="007C0B8D">
              <w:rPr>
                <w:sz w:val="28"/>
                <w:szCs w:val="28"/>
              </w:rPr>
              <w:t>постановлением администрации Тенькинского  городского округа Магаданской области</w:t>
            </w:r>
          </w:p>
          <w:p w:rsidR="004B4997" w:rsidRPr="007C0B8D" w:rsidRDefault="004B4997" w:rsidP="00362F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0B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20.04.</w:t>
            </w:r>
            <w:r w:rsidRPr="007C0B8D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>234-па</w:t>
            </w:r>
          </w:p>
        </w:tc>
      </w:tr>
    </w:tbl>
    <w:p w:rsidR="004B4997" w:rsidRDefault="004B4997" w:rsidP="0029090D">
      <w:pPr>
        <w:spacing w:line="360" w:lineRule="auto"/>
        <w:jc w:val="both"/>
        <w:rPr>
          <w:sz w:val="28"/>
          <w:szCs w:val="28"/>
        </w:rPr>
      </w:pPr>
    </w:p>
    <w:p w:rsidR="004B4997" w:rsidRDefault="004B4997" w:rsidP="004B2221">
      <w:pPr>
        <w:ind w:righ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B4997" w:rsidRPr="00591255" w:rsidRDefault="004B4997" w:rsidP="004B2221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</w:t>
      </w:r>
      <w:r w:rsidRPr="00591255">
        <w:rPr>
          <w:b/>
          <w:bCs/>
          <w:sz w:val="28"/>
          <w:szCs w:val="28"/>
        </w:rPr>
        <w:t>екторе по физической культуре, спорту и туризму администрации Тенькинского городского округа</w:t>
      </w:r>
      <w:r>
        <w:rPr>
          <w:b/>
          <w:bCs/>
          <w:sz w:val="28"/>
          <w:szCs w:val="28"/>
        </w:rPr>
        <w:t xml:space="preserve"> </w:t>
      </w:r>
      <w:r w:rsidRPr="008C6059">
        <w:rPr>
          <w:b/>
          <w:bCs/>
          <w:sz w:val="28"/>
          <w:szCs w:val="28"/>
        </w:rPr>
        <w:t>Магаданской области</w:t>
      </w:r>
    </w:p>
    <w:p w:rsidR="004B4997" w:rsidRDefault="004B4997" w:rsidP="00591255">
      <w:pPr>
        <w:spacing w:after="240"/>
        <w:ind w:right="-5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B4997" w:rsidRPr="00511EEE" w:rsidRDefault="004B4997" w:rsidP="00B25C63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1.1. Сектор по физической культуре, спорту и туризму администрации Тенькинского городского округа</w:t>
      </w:r>
      <w:r>
        <w:rPr>
          <w:sz w:val="28"/>
          <w:szCs w:val="28"/>
        </w:rPr>
        <w:t xml:space="preserve"> </w:t>
      </w:r>
      <w:r w:rsidRPr="0029090D"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с</w:t>
      </w:r>
      <w:r w:rsidRPr="00511EEE">
        <w:rPr>
          <w:sz w:val="28"/>
          <w:szCs w:val="28"/>
        </w:rPr>
        <w:t>ектор</w:t>
      </w:r>
      <w:r>
        <w:rPr>
          <w:sz w:val="28"/>
          <w:szCs w:val="28"/>
        </w:rPr>
        <w:t>)</w:t>
      </w:r>
      <w:r w:rsidRPr="00511EEE">
        <w:rPr>
          <w:sz w:val="28"/>
          <w:szCs w:val="28"/>
        </w:rPr>
        <w:t xml:space="preserve"> создан для реализации в пределах установленных полномочий, государственной политики в сфере физической культуры, спорта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и туризма на территории Тенькинского городского округа.</w:t>
      </w:r>
    </w:p>
    <w:p w:rsidR="004B4997" w:rsidRPr="00511EEE" w:rsidRDefault="004B4997" w:rsidP="00B25C63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1.2. Сектор является структурным подразделением администрации Тенькинского городского округа.</w:t>
      </w:r>
    </w:p>
    <w:p w:rsidR="004B4997" w:rsidRPr="00511EEE" w:rsidRDefault="004B4997" w:rsidP="00B25C63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1.3. Сектор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Магаданской области, решениями Собрания предс</w:t>
      </w:r>
      <w:r>
        <w:rPr>
          <w:sz w:val="28"/>
          <w:szCs w:val="28"/>
        </w:rPr>
        <w:t xml:space="preserve">тавителей </w:t>
      </w:r>
      <w:r w:rsidRPr="00511EEE">
        <w:rPr>
          <w:sz w:val="28"/>
          <w:szCs w:val="28"/>
        </w:rPr>
        <w:t xml:space="preserve">Тенькинского </w:t>
      </w:r>
      <w:r>
        <w:rPr>
          <w:sz w:val="28"/>
          <w:szCs w:val="28"/>
        </w:rPr>
        <w:t>городского округа Магаданской области, постановлениями администрации</w:t>
      </w:r>
      <w:r w:rsidRPr="00511EEE">
        <w:rPr>
          <w:sz w:val="28"/>
          <w:szCs w:val="28"/>
        </w:rPr>
        <w:t xml:space="preserve"> Тенькинского </w:t>
      </w:r>
      <w:r>
        <w:rPr>
          <w:sz w:val="28"/>
          <w:szCs w:val="28"/>
        </w:rPr>
        <w:t>городского округа Магаданской области</w:t>
      </w:r>
      <w:r w:rsidRPr="00511EEE">
        <w:rPr>
          <w:sz w:val="28"/>
          <w:szCs w:val="28"/>
        </w:rPr>
        <w:t>, настоящим Положением.</w:t>
      </w:r>
    </w:p>
    <w:p w:rsidR="004B4997" w:rsidRPr="00511EEE" w:rsidRDefault="004B4997" w:rsidP="005F18FB">
      <w:pPr>
        <w:spacing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 с</w:t>
      </w:r>
      <w:r w:rsidRPr="00511EEE">
        <w:rPr>
          <w:sz w:val="28"/>
          <w:szCs w:val="28"/>
        </w:rPr>
        <w:t>екторе утверждается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постановлением администрации Тенькинского городского округа.</w:t>
      </w:r>
    </w:p>
    <w:p w:rsidR="004B4997" w:rsidRPr="004B2221" w:rsidRDefault="004B4997" w:rsidP="004B2221">
      <w:pPr>
        <w:spacing w:after="240" w:line="360" w:lineRule="auto"/>
        <w:ind w:firstLine="708"/>
        <w:rPr>
          <w:sz w:val="28"/>
          <w:szCs w:val="28"/>
        </w:rPr>
      </w:pPr>
      <w:r w:rsidRPr="00511EEE">
        <w:rPr>
          <w:sz w:val="28"/>
          <w:szCs w:val="28"/>
        </w:rPr>
        <w:t>1.5. Сектор не обладает правами юридического лица.</w:t>
      </w:r>
    </w:p>
    <w:p w:rsidR="004B4997" w:rsidRPr="005F18FB" w:rsidRDefault="004B4997" w:rsidP="00230C55">
      <w:pPr>
        <w:spacing w:before="240" w:after="240"/>
        <w:ind w:right="-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сектора</w:t>
      </w:r>
    </w:p>
    <w:p w:rsidR="004B4997" w:rsidRDefault="004B4997" w:rsidP="00230C55">
      <w:pPr>
        <w:spacing w:before="240" w:line="360" w:lineRule="auto"/>
        <w:ind w:right="141" w:firstLine="708"/>
        <w:jc w:val="both"/>
        <w:rPr>
          <w:sz w:val="28"/>
          <w:szCs w:val="28"/>
        </w:rPr>
      </w:pPr>
      <w:r w:rsidRPr="00C35382">
        <w:rPr>
          <w:sz w:val="28"/>
          <w:szCs w:val="28"/>
        </w:rPr>
        <w:t>2.1.Организация взаимодействия со структурными подразделениями администрации Тенькинского городского округа, департаментом физической культуры, спорта и туризма Магаданской области,</w:t>
      </w:r>
      <w:r w:rsidRPr="00511EEE">
        <w:rPr>
          <w:sz w:val="28"/>
          <w:szCs w:val="28"/>
        </w:rPr>
        <w:t xml:space="preserve"> </w:t>
      </w:r>
    </w:p>
    <w:p w:rsidR="004B4997" w:rsidRPr="00511EEE" w:rsidRDefault="004B4997" w:rsidP="004B2221">
      <w:pPr>
        <w:spacing w:before="240" w:line="360" w:lineRule="auto"/>
        <w:ind w:right="141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федеральными и региональными структурами, осуществляющими свою деятельность на территории Тенькинского городского округа, молодежными объединениями, образовательными учреждениями, а также предприятиями и организациями всех видов собственности для реализации полномочий государственной политики в сфере физической культуры, спорта и туризма на территории Тенькинского городского округа;</w:t>
      </w:r>
    </w:p>
    <w:p w:rsidR="004B4997" w:rsidRPr="00511EEE" w:rsidRDefault="004B4997" w:rsidP="00364C90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2.2. Пропаганда здорового образа жизни, активное привлечение </w:t>
      </w:r>
      <w:r>
        <w:rPr>
          <w:sz w:val="28"/>
          <w:szCs w:val="28"/>
        </w:rPr>
        <w:t xml:space="preserve">населения </w:t>
      </w:r>
      <w:r w:rsidRPr="00511EEE">
        <w:rPr>
          <w:sz w:val="28"/>
          <w:szCs w:val="28"/>
        </w:rPr>
        <w:t>к занятиям физкультурой и спортом;</w:t>
      </w:r>
    </w:p>
    <w:p w:rsidR="004B4997" w:rsidRPr="00511EEE" w:rsidRDefault="004B4997" w:rsidP="004B2221">
      <w:pPr>
        <w:spacing w:after="240" w:line="360" w:lineRule="auto"/>
        <w:ind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2.3. Содействие в развитии инфраструктуры туристской индустрии, обеспечивающей потребности </w:t>
      </w:r>
      <w:r>
        <w:rPr>
          <w:sz w:val="28"/>
          <w:szCs w:val="28"/>
        </w:rPr>
        <w:t>граждан в оздоровлении и отдыхе.</w:t>
      </w:r>
    </w:p>
    <w:p w:rsidR="004B4997" w:rsidRPr="00A62ADB" w:rsidRDefault="004B4997" w:rsidP="00A62ADB">
      <w:pPr>
        <w:spacing w:after="240"/>
        <w:ind w:right="-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сектора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3.1. Разрабатывает</w:t>
      </w:r>
      <w:r>
        <w:rPr>
          <w:sz w:val="28"/>
          <w:szCs w:val="28"/>
        </w:rPr>
        <w:t xml:space="preserve"> и представляет на утверждение г</w:t>
      </w:r>
      <w:r w:rsidRPr="00511EEE">
        <w:rPr>
          <w:sz w:val="28"/>
          <w:szCs w:val="28"/>
        </w:rPr>
        <w:t>лаве Тенькинского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 xml:space="preserve">городского округа календарный план соревнований, осуществляет подготовку сборных команд </w:t>
      </w:r>
      <w:r>
        <w:rPr>
          <w:sz w:val="28"/>
          <w:szCs w:val="28"/>
        </w:rPr>
        <w:t>городского округа и организует</w:t>
      </w:r>
      <w:r w:rsidRPr="00511EEE">
        <w:rPr>
          <w:sz w:val="28"/>
          <w:szCs w:val="28"/>
        </w:rPr>
        <w:t xml:space="preserve"> проведение Спартакиады трудящихся</w:t>
      </w:r>
      <w:r>
        <w:rPr>
          <w:sz w:val="28"/>
          <w:szCs w:val="28"/>
        </w:rPr>
        <w:t>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3.2. Осуществляет разработку и реализацию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муниципальных программ, финансируемых из средств местного бюджета, направленных на решение проблем,</w:t>
      </w:r>
      <w:r>
        <w:rPr>
          <w:sz w:val="28"/>
          <w:szCs w:val="28"/>
        </w:rPr>
        <w:t xml:space="preserve"> содействие</w:t>
      </w:r>
      <w:r w:rsidRPr="00511EEE">
        <w:rPr>
          <w:sz w:val="28"/>
          <w:szCs w:val="28"/>
        </w:rPr>
        <w:t xml:space="preserve"> физическому, духовному и патриотическому воспитанию, участвует в реализации на территории Тенькинского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городского округа региональных программ, финансируемых из средств областного бюджета.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3.3. Проводит работу по подготовке спортивного</w:t>
      </w:r>
      <w:r>
        <w:rPr>
          <w:sz w:val="28"/>
          <w:szCs w:val="28"/>
        </w:rPr>
        <w:t xml:space="preserve"> резерва, </w:t>
      </w:r>
      <w:r w:rsidRPr="00511E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 xml:space="preserve">формирования сборных команд </w:t>
      </w:r>
      <w:r>
        <w:rPr>
          <w:sz w:val="28"/>
          <w:szCs w:val="28"/>
        </w:rPr>
        <w:t>городского округа</w:t>
      </w:r>
      <w:r w:rsidRPr="00511EEE">
        <w:rPr>
          <w:sz w:val="28"/>
          <w:szCs w:val="28"/>
        </w:rPr>
        <w:t xml:space="preserve"> для участия в областных соревнованиях.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3.4. Изучает потребность</w:t>
      </w:r>
      <w:r>
        <w:rPr>
          <w:sz w:val="28"/>
          <w:szCs w:val="28"/>
        </w:rPr>
        <w:t xml:space="preserve"> городского округа</w:t>
      </w:r>
      <w:r w:rsidRPr="00511EEE">
        <w:rPr>
          <w:sz w:val="28"/>
          <w:szCs w:val="28"/>
        </w:rPr>
        <w:t xml:space="preserve"> в специалистах по физической культуре и спорту, организует обучение и переподготовку физкультурных кадров и актива на областных курсах повышения квалификации, семинарах.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3.5. Присваивает в установленном порядке спортивные разряды, судейские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и тренерские категории (согласно единой всероссийской спортивной классификации).</w:t>
      </w:r>
    </w:p>
    <w:p w:rsidR="004B4997" w:rsidRDefault="004B4997" w:rsidP="00A96ED4">
      <w:pPr>
        <w:spacing w:line="360" w:lineRule="auto"/>
        <w:ind w:firstLine="709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3.6. Взаимодействует со средствами массовой информации для всесторонней пропаганды здорового образа жизни с</w:t>
      </w:r>
      <w:r>
        <w:rPr>
          <w:sz w:val="28"/>
          <w:szCs w:val="28"/>
        </w:rPr>
        <w:t>реди граждан Тенькинского городского округа</w:t>
      </w:r>
      <w:r w:rsidRPr="00511EE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в целях освещения своей деятельности.</w:t>
      </w:r>
    </w:p>
    <w:p w:rsidR="004B4997" w:rsidRDefault="004B4997" w:rsidP="00A96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11EEE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с муниципальным Центром тестирования по выполнению видов испытаний (тестов), нормативов, требований к оценке уровня знаний и умений </w:t>
      </w:r>
      <w:r w:rsidRPr="00A05033">
        <w:rPr>
          <w:sz w:val="28"/>
          <w:szCs w:val="28"/>
        </w:rPr>
        <w:t>Всероссийского физкультурно-спортивного комплекса «Готов к труду и обороне».</w:t>
      </w:r>
    </w:p>
    <w:p w:rsidR="004B4997" w:rsidRPr="00A05033" w:rsidRDefault="004B4997" w:rsidP="00A96ED4">
      <w:pPr>
        <w:spacing w:line="360" w:lineRule="auto"/>
        <w:ind w:firstLine="709"/>
        <w:jc w:val="both"/>
        <w:rPr>
          <w:sz w:val="28"/>
          <w:szCs w:val="28"/>
        </w:rPr>
      </w:pPr>
    </w:p>
    <w:p w:rsidR="004B4997" w:rsidRPr="00B93A23" w:rsidRDefault="004B4997" w:rsidP="00B93A23">
      <w:pPr>
        <w:spacing w:after="240" w:line="360" w:lineRule="auto"/>
        <w:ind w:right="-52"/>
        <w:jc w:val="center"/>
        <w:rPr>
          <w:b/>
          <w:bCs/>
          <w:sz w:val="28"/>
          <w:szCs w:val="28"/>
        </w:rPr>
      </w:pPr>
      <w:r w:rsidRPr="00B93A23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Сектор</w:t>
      </w:r>
      <w:r w:rsidRPr="00B93A23">
        <w:rPr>
          <w:b/>
          <w:bCs/>
          <w:sz w:val="28"/>
          <w:szCs w:val="28"/>
        </w:rPr>
        <w:t xml:space="preserve"> имеет право: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4.1. Запрашивать у структурных подразделений администрации Тенькинского городского округа и других организаций и учреждений в установленном порядке справки и другие документы, а также информацию необходимую для выполнения вышеуказанных функций.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4.2. Участвовать в совещаниях и заседаниях, проводимых в администрации </w:t>
      </w:r>
      <w:r>
        <w:rPr>
          <w:sz w:val="28"/>
          <w:szCs w:val="28"/>
        </w:rPr>
        <w:t xml:space="preserve">Тенькинского городского округа </w:t>
      </w:r>
      <w:r w:rsidRPr="00511EEE">
        <w:rPr>
          <w:sz w:val="28"/>
          <w:szCs w:val="28"/>
        </w:rPr>
        <w:t>для рассмотрения вопросов, находящихся в компетенции сектора.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Посещать в установленном порядке в целях исполнения должностных обязанностей предприятия, учреждения, организации независимо от организационно-правовых форм собственности.</w:t>
      </w:r>
    </w:p>
    <w:p w:rsidR="004B4997" w:rsidRPr="00511EEE" w:rsidRDefault="004B4997" w:rsidP="00511EEE">
      <w:pPr>
        <w:spacing w:line="360" w:lineRule="auto"/>
        <w:ind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4.4. Создавать в установленном порядке методические, консультативные и прочие общественные Советы, рабочие группы по решению проблем, возникающих при реализации государственной политики, в сфере физической культуры, спорта и туризма,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организовывать Федерации, ассоциации по видам спорта на добровольных началах.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4.5. Представлять администрацию городского округа по всем вопросам, входящим в компетенцию </w:t>
      </w:r>
      <w:r>
        <w:rPr>
          <w:sz w:val="28"/>
          <w:szCs w:val="28"/>
        </w:rPr>
        <w:t>с</w:t>
      </w:r>
      <w:r w:rsidRPr="00511EEE">
        <w:rPr>
          <w:sz w:val="28"/>
          <w:szCs w:val="28"/>
        </w:rPr>
        <w:t>ектора.</w:t>
      </w:r>
    </w:p>
    <w:p w:rsidR="004B4997" w:rsidRPr="00511EEE" w:rsidRDefault="004B4997" w:rsidP="00511EEE">
      <w:pPr>
        <w:spacing w:line="360" w:lineRule="auto"/>
        <w:ind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4.6. В установленном законом порядке приобретать спортинвентарь, ремонтировать физкультурные сооружения, </w:t>
      </w:r>
      <w:r>
        <w:rPr>
          <w:sz w:val="28"/>
          <w:szCs w:val="28"/>
        </w:rPr>
        <w:t>готовить проекты</w:t>
      </w:r>
      <w:r w:rsidRPr="00511EEE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оговоров</w:t>
      </w:r>
      <w:r w:rsidRPr="00511EEE">
        <w:rPr>
          <w:sz w:val="28"/>
          <w:szCs w:val="28"/>
        </w:rPr>
        <w:t xml:space="preserve"> и </w:t>
      </w:r>
      <w:r>
        <w:rPr>
          <w:sz w:val="28"/>
          <w:szCs w:val="28"/>
        </w:rPr>
        <w:t>соглашений</w:t>
      </w:r>
      <w:r w:rsidRPr="00511EEE">
        <w:rPr>
          <w:sz w:val="28"/>
          <w:szCs w:val="28"/>
        </w:rPr>
        <w:t>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4.7. Принимать участие в совещаниях, семинарах, проверках и других мероприятиях, проводимых администрацией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Тенькинского городского округа по вопросам реализации государственной политики в сфере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>физической культуры, спорта и туризма.</w:t>
      </w:r>
    </w:p>
    <w:p w:rsidR="004B4997" w:rsidRPr="00511EEE" w:rsidRDefault="004B4997" w:rsidP="00511EEE">
      <w:pPr>
        <w:spacing w:after="240"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>4.8. Вносить в администрацию городского округа</w:t>
      </w:r>
      <w:r>
        <w:rPr>
          <w:sz w:val="28"/>
          <w:szCs w:val="28"/>
        </w:rPr>
        <w:t xml:space="preserve">, </w:t>
      </w:r>
      <w:r w:rsidRPr="00511EEE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</w:t>
      </w:r>
      <w:r w:rsidRPr="00511EEE">
        <w:rPr>
          <w:sz w:val="28"/>
          <w:szCs w:val="28"/>
        </w:rPr>
        <w:t xml:space="preserve">Тенькинского городского округа, руководителям учреждений, организаций, предприятий независимо от форм собственности, объединениям граждан предложения по реализации </w:t>
      </w:r>
      <w:r>
        <w:rPr>
          <w:sz w:val="28"/>
          <w:szCs w:val="28"/>
        </w:rPr>
        <w:t>государственной политики в сфере</w:t>
      </w:r>
      <w:r w:rsidRPr="00511EEE">
        <w:rPr>
          <w:sz w:val="28"/>
          <w:szCs w:val="28"/>
        </w:rPr>
        <w:t xml:space="preserve"> физической культуры и спорта.</w:t>
      </w:r>
    </w:p>
    <w:p w:rsidR="004B4997" w:rsidRDefault="004B4997" w:rsidP="00B567F0">
      <w:pPr>
        <w:spacing w:after="240" w:line="360" w:lineRule="auto"/>
        <w:ind w:right="-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4B4997" w:rsidRPr="00B93A23" w:rsidRDefault="004B4997" w:rsidP="00AE32D4">
      <w:pPr>
        <w:spacing w:line="360" w:lineRule="auto"/>
        <w:ind w:right="-5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Сотрудники сектора несут ответственность за:</w:t>
      </w:r>
    </w:p>
    <w:p w:rsidR="004B4997" w:rsidRDefault="004B4997" w:rsidP="00B567F0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5.1. </w:t>
      </w:r>
      <w:r>
        <w:rPr>
          <w:sz w:val="28"/>
          <w:szCs w:val="28"/>
        </w:rPr>
        <w:t>Ненадлежащее выполнение задач и функций, возложенных на сектор, в пределах своих должностных обязанностей в соответствии с действующим законодательством.</w:t>
      </w:r>
    </w:p>
    <w:p w:rsidR="004B4997" w:rsidRDefault="004B4997" w:rsidP="00B567F0">
      <w:pPr>
        <w:spacing w:line="360" w:lineRule="auto"/>
        <w:ind w:right="-52" w:firstLine="708"/>
        <w:jc w:val="both"/>
        <w:rPr>
          <w:sz w:val="28"/>
          <w:szCs w:val="28"/>
        </w:rPr>
      </w:pPr>
      <w:r w:rsidRPr="00511EEE">
        <w:rPr>
          <w:sz w:val="28"/>
          <w:szCs w:val="28"/>
        </w:rPr>
        <w:t xml:space="preserve">5.2. </w:t>
      </w:r>
      <w:r>
        <w:rPr>
          <w:sz w:val="28"/>
          <w:szCs w:val="28"/>
        </w:rPr>
        <w:t>Ненадлежащее соблюдение правил внутреннего трудового распорядка в соответствии с Трудовым кодексом Российской Федерации.</w:t>
      </w:r>
    </w:p>
    <w:p w:rsidR="004B4997" w:rsidRPr="00511EEE" w:rsidRDefault="004B4997" w:rsidP="000A1B03">
      <w:pPr>
        <w:spacing w:after="240"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511EEE">
        <w:rPr>
          <w:sz w:val="28"/>
          <w:szCs w:val="28"/>
        </w:rPr>
        <w:t xml:space="preserve">. </w:t>
      </w:r>
      <w:r>
        <w:rPr>
          <w:sz w:val="28"/>
          <w:szCs w:val="28"/>
        </w:rPr>
        <w:t>Ненадлежащее соблюдение</w:t>
      </w:r>
      <w:r w:rsidRPr="00511EEE">
        <w:rPr>
          <w:sz w:val="28"/>
          <w:szCs w:val="28"/>
        </w:rPr>
        <w:t xml:space="preserve"> </w:t>
      </w:r>
      <w:r>
        <w:rPr>
          <w:sz w:val="28"/>
          <w:szCs w:val="28"/>
        </w:rPr>
        <w:t>иных обязательств, установленных законодательством Российской Федерации и Магаданской области о муниципальной службе и противодействии коррупции.</w:t>
      </w:r>
    </w:p>
    <w:p w:rsidR="004B4997" w:rsidRPr="00B93A23" w:rsidRDefault="004B4997" w:rsidP="00AE32D4">
      <w:pPr>
        <w:spacing w:after="240" w:line="360" w:lineRule="auto"/>
        <w:ind w:right="-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Организация работы</w:t>
      </w:r>
    </w:p>
    <w:p w:rsidR="004B4997" w:rsidRPr="00511EEE" w:rsidRDefault="004B4997" w:rsidP="00AE32D4">
      <w:pPr>
        <w:spacing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1EEE">
        <w:rPr>
          <w:sz w:val="28"/>
          <w:szCs w:val="28"/>
        </w:rPr>
        <w:t>.1. Сектор содержится за счет средств бюджета Тенькинского городско</w:t>
      </w:r>
      <w:r>
        <w:rPr>
          <w:sz w:val="28"/>
          <w:szCs w:val="28"/>
        </w:rPr>
        <w:t>го округа. Штатная численность с</w:t>
      </w:r>
      <w:r w:rsidRPr="00511EEE">
        <w:rPr>
          <w:sz w:val="28"/>
          <w:szCs w:val="28"/>
        </w:rPr>
        <w:t xml:space="preserve">ектора утверждается распоряжением </w:t>
      </w:r>
      <w:r>
        <w:rPr>
          <w:sz w:val="28"/>
          <w:szCs w:val="28"/>
        </w:rPr>
        <w:t>администрации</w:t>
      </w:r>
      <w:r w:rsidRPr="00511EEE">
        <w:rPr>
          <w:sz w:val="28"/>
          <w:szCs w:val="28"/>
        </w:rPr>
        <w:t xml:space="preserve"> Тенькинского городского округа. </w:t>
      </w:r>
    </w:p>
    <w:p w:rsidR="004B4997" w:rsidRPr="00511EEE" w:rsidRDefault="004B4997" w:rsidP="00AE32D4">
      <w:pPr>
        <w:spacing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11EEE">
        <w:rPr>
          <w:sz w:val="28"/>
          <w:szCs w:val="28"/>
        </w:rPr>
        <w:t>.2. Реорганизация и прекращение деятельнос</w:t>
      </w:r>
      <w:r>
        <w:rPr>
          <w:sz w:val="28"/>
          <w:szCs w:val="28"/>
        </w:rPr>
        <w:t>ти с</w:t>
      </w:r>
      <w:r w:rsidRPr="00511EEE">
        <w:rPr>
          <w:sz w:val="28"/>
          <w:szCs w:val="28"/>
        </w:rPr>
        <w:t xml:space="preserve">ектора производится распоряжением </w:t>
      </w:r>
      <w:r>
        <w:rPr>
          <w:sz w:val="28"/>
          <w:szCs w:val="28"/>
        </w:rPr>
        <w:t>администрации</w:t>
      </w:r>
      <w:r w:rsidRPr="00511EEE">
        <w:rPr>
          <w:sz w:val="28"/>
          <w:szCs w:val="28"/>
        </w:rPr>
        <w:t xml:space="preserve"> Тенькинского городского округа.</w:t>
      </w:r>
    </w:p>
    <w:p w:rsidR="004B4997" w:rsidRPr="00511EEE" w:rsidRDefault="004B4997" w:rsidP="00AE32D4">
      <w:pPr>
        <w:spacing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Специалисты с</w:t>
      </w:r>
      <w:r w:rsidRPr="00511EEE">
        <w:rPr>
          <w:sz w:val="28"/>
          <w:szCs w:val="28"/>
        </w:rPr>
        <w:t xml:space="preserve">ектора назначаются и освобождаются от должности распоряжением </w:t>
      </w:r>
      <w:r>
        <w:rPr>
          <w:sz w:val="28"/>
          <w:szCs w:val="28"/>
        </w:rPr>
        <w:t>администрации</w:t>
      </w:r>
      <w:r w:rsidRPr="00511EEE">
        <w:rPr>
          <w:sz w:val="28"/>
          <w:szCs w:val="28"/>
        </w:rPr>
        <w:t xml:space="preserve"> Тенькинского городского округа.</w:t>
      </w:r>
    </w:p>
    <w:p w:rsidR="004B4997" w:rsidRDefault="004B4997" w:rsidP="00AE32D4">
      <w:pPr>
        <w:spacing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Специалисты с</w:t>
      </w:r>
      <w:r w:rsidRPr="00511EEE">
        <w:rPr>
          <w:sz w:val="28"/>
          <w:szCs w:val="28"/>
        </w:rPr>
        <w:t>ектора несут персональную ответственност</w:t>
      </w:r>
      <w:r>
        <w:rPr>
          <w:sz w:val="28"/>
          <w:szCs w:val="28"/>
        </w:rPr>
        <w:t>ь за выполнение возложенных на с</w:t>
      </w:r>
      <w:r w:rsidRPr="00511EEE">
        <w:rPr>
          <w:sz w:val="28"/>
          <w:szCs w:val="28"/>
        </w:rPr>
        <w:t>ектор задач.</w:t>
      </w:r>
    </w:p>
    <w:p w:rsidR="004B4997" w:rsidRPr="00511EEE" w:rsidRDefault="004B4997" w:rsidP="00511EEE">
      <w:pPr>
        <w:spacing w:line="360" w:lineRule="auto"/>
        <w:ind w:right="-52" w:firstLine="708"/>
        <w:jc w:val="both"/>
        <w:rPr>
          <w:sz w:val="28"/>
          <w:szCs w:val="28"/>
        </w:rPr>
      </w:pPr>
    </w:p>
    <w:p w:rsidR="004B4997" w:rsidRPr="00B93A23" w:rsidRDefault="004B4997" w:rsidP="00B93A23">
      <w:pPr>
        <w:ind w:right="-5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4B4997" w:rsidRPr="00B93A23" w:rsidSect="004B2221">
      <w:pgSz w:w="11909" w:h="16834"/>
      <w:pgMar w:top="1165" w:right="833" w:bottom="847" w:left="1701" w:header="720" w:footer="720" w:gutter="0"/>
      <w:pgNumType w:start="1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97" w:rsidRDefault="004B4997" w:rsidP="002759D7">
      <w:r>
        <w:separator/>
      </w:r>
    </w:p>
  </w:endnote>
  <w:endnote w:type="continuationSeparator" w:id="1">
    <w:p w:rsidR="004B4997" w:rsidRDefault="004B4997" w:rsidP="0027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97" w:rsidRDefault="004B4997" w:rsidP="002759D7">
      <w:r>
        <w:separator/>
      </w:r>
    </w:p>
  </w:footnote>
  <w:footnote w:type="continuationSeparator" w:id="1">
    <w:p w:rsidR="004B4997" w:rsidRDefault="004B4997" w:rsidP="0027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97" w:rsidRDefault="004B4997" w:rsidP="00A96ED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B4997" w:rsidRDefault="004B49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417B"/>
    <w:multiLevelType w:val="hybridMultilevel"/>
    <w:tmpl w:val="24FAD7AE"/>
    <w:lvl w:ilvl="0" w:tplc="3C90C83C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85AA0"/>
    <w:multiLevelType w:val="multilevel"/>
    <w:tmpl w:val="CE807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E69588B"/>
    <w:multiLevelType w:val="multilevel"/>
    <w:tmpl w:val="0C58E7A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41575A5"/>
    <w:multiLevelType w:val="multilevel"/>
    <w:tmpl w:val="15E44E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72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720"/>
      </w:p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4308" w:hanging="1080"/>
      </w:p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282"/>
        </w:tabs>
        <w:ind w:left="6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89"/>
        </w:tabs>
        <w:ind w:left="70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56"/>
        </w:tabs>
        <w:ind w:left="8256" w:hanging="1800"/>
      </w:pPr>
    </w:lvl>
  </w:abstractNum>
  <w:abstractNum w:abstractNumId="4">
    <w:nsid w:val="54D11F0E"/>
    <w:multiLevelType w:val="hybridMultilevel"/>
    <w:tmpl w:val="663098A2"/>
    <w:lvl w:ilvl="0" w:tplc="011E5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08274">
      <w:numFmt w:val="none"/>
      <w:lvlText w:val=""/>
      <w:lvlJc w:val="left"/>
      <w:pPr>
        <w:tabs>
          <w:tab w:val="num" w:pos="360"/>
        </w:tabs>
      </w:pPr>
    </w:lvl>
    <w:lvl w:ilvl="2" w:tplc="20B64914">
      <w:numFmt w:val="none"/>
      <w:lvlText w:val=""/>
      <w:lvlJc w:val="left"/>
      <w:pPr>
        <w:tabs>
          <w:tab w:val="num" w:pos="360"/>
        </w:tabs>
      </w:pPr>
    </w:lvl>
    <w:lvl w:ilvl="3" w:tplc="E6FE1CC8">
      <w:numFmt w:val="none"/>
      <w:lvlText w:val=""/>
      <w:lvlJc w:val="left"/>
      <w:pPr>
        <w:tabs>
          <w:tab w:val="num" w:pos="360"/>
        </w:tabs>
      </w:pPr>
    </w:lvl>
    <w:lvl w:ilvl="4" w:tplc="9248377A">
      <w:numFmt w:val="none"/>
      <w:lvlText w:val=""/>
      <w:lvlJc w:val="left"/>
      <w:pPr>
        <w:tabs>
          <w:tab w:val="num" w:pos="360"/>
        </w:tabs>
      </w:pPr>
    </w:lvl>
    <w:lvl w:ilvl="5" w:tplc="D53CFD58">
      <w:numFmt w:val="none"/>
      <w:lvlText w:val=""/>
      <w:lvlJc w:val="left"/>
      <w:pPr>
        <w:tabs>
          <w:tab w:val="num" w:pos="360"/>
        </w:tabs>
      </w:pPr>
    </w:lvl>
    <w:lvl w:ilvl="6" w:tplc="B7E2DFA4">
      <w:numFmt w:val="none"/>
      <w:lvlText w:val=""/>
      <w:lvlJc w:val="left"/>
      <w:pPr>
        <w:tabs>
          <w:tab w:val="num" w:pos="360"/>
        </w:tabs>
      </w:pPr>
    </w:lvl>
    <w:lvl w:ilvl="7" w:tplc="4774C360">
      <w:numFmt w:val="none"/>
      <w:lvlText w:val=""/>
      <w:lvlJc w:val="left"/>
      <w:pPr>
        <w:tabs>
          <w:tab w:val="num" w:pos="360"/>
        </w:tabs>
      </w:pPr>
    </w:lvl>
    <w:lvl w:ilvl="8" w:tplc="D46235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425D1B"/>
    <w:multiLevelType w:val="multilevel"/>
    <w:tmpl w:val="286058F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78"/>
  <w:drawingGridVerticalSpacing w:val="10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474"/>
    <w:rsid w:val="000178CA"/>
    <w:rsid w:val="00021AF1"/>
    <w:rsid w:val="00032D81"/>
    <w:rsid w:val="00033535"/>
    <w:rsid w:val="00080980"/>
    <w:rsid w:val="000A154F"/>
    <w:rsid w:val="000A1B03"/>
    <w:rsid w:val="00150728"/>
    <w:rsid w:val="001A3445"/>
    <w:rsid w:val="001A7021"/>
    <w:rsid w:val="00225A40"/>
    <w:rsid w:val="00230C55"/>
    <w:rsid w:val="0024040A"/>
    <w:rsid w:val="00244EF9"/>
    <w:rsid w:val="00245420"/>
    <w:rsid w:val="00257A5D"/>
    <w:rsid w:val="002759D7"/>
    <w:rsid w:val="0029090D"/>
    <w:rsid w:val="002D7CCC"/>
    <w:rsid w:val="002E6DC7"/>
    <w:rsid w:val="002F1534"/>
    <w:rsid w:val="0032329E"/>
    <w:rsid w:val="003369F5"/>
    <w:rsid w:val="0034731C"/>
    <w:rsid w:val="00347863"/>
    <w:rsid w:val="00362F4F"/>
    <w:rsid w:val="00364C90"/>
    <w:rsid w:val="0037614B"/>
    <w:rsid w:val="003A53C9"/>
    <w:rsid w:val="003A744C"/>
    <w:rsid w:val="003B75C2"/>
    <w:rsid w:val="003C6164"/>
    <w:rsid w:val="003E1B97"/>
    <w:rsid w:val="003E20A6"/>
    <w:rsid w:val="003E20F8"/>
    <w:rsid w:val="004463B2"/>
    <w:rsid w:val="0047562E"/>
    <w:rsid w:val="004A108D"/>
    <w:rsid w:val="004A2970"/>
    <w:rsid w:val="004B2221"/>
    <w:rsid w:val="004B4997"/>
    <w:rsid w:val="004B6E55"/>
    <w:rsid w:val="00511EEE"/>
    <w:rsid w:val="005221F3"/>
    <w:rsid w:val="00540A8B"/>
    <w:rsid w:val="00544705"/>
    <w:rsid w:val="00547683"/>
    <w:rsid w:val="0056765F"/>
    <w:rsid w:val="00591255"/>
    <w:rsid w:val="005A0474"/>
    <w:rsid w:val="005B281D"/>
    <w:rsid w:val="005C38CF"/>
    <w:rsid w:val="005C482D"/>
    <w:rsid w:val="005F18FB"/>
    <w:rsid w:val="0064541A"/>
    <w:rsid w:val="006454F3"/>
    <w:rsid w:val="006506BB"/>
    <w:rsid w:val="006566B1"/>
    <w:rsid w:val="00663563"/>
    <w:rsid w:val="00676A61"/>
    <w:rsid w:val="00676CE6"/>
    <w:rsid w:val="00683A73"/>
    <w:rsid w:val="006944F8"/>
    <w:rsid w:val="006B0F38"/>
    <w:rsid w:val="006C7D55"/>
    <w:rsid w:val="006E5DBA"/>
    <w:rsid w:val="007661EC"/>
    <w:rsid w:val="00773427"/>
    <w:rsid w:val="007C0B8D"/>
    <w:rsid w:val="008238F9"/>
    <w:rsid w:val="0084661F"/>
    <w:rsid w:val="00875545"/>
    <w:rsid w:val="008C6059"/>
    <w:rsid w:val="008C60E3"/>
    <w:rsid w:val="008E4F93"/>
    <w:rsid w:val="00910472"/>
    <w:rsid w:val="009623AB"/>
    <w:rsid w:val="009B0250"/>
    <w:rsid w:val="009F035D"/>
    <w:rsid w:val="00A05033"/>
    <w:rsid w:val="00A17331"/>
    <w:rsid w:val="00A43D34"/>
    <w:rsid w:val="00A53637"/>
    <w:rsid w:val="00A546BC"/>
    <w:rsid w:val="00A62ADB"/>
    <w:rsid w:val="00A64800"/>
    <w:rsid w:val="00A749D7"/>
    <w:rsid w:val="00A820CD"/>
    <w:rsid w:val="00A96ED4"/>
    <w:rsid w:val="00AA249F"/>
    <w:rsid w:val="00AA317A"/>
    <w:rsid w:val="00AE32D4"/>
    <w:rsid w:val="00B05F0A"/>
    <w:rsid w:val="00B06EAF"/>
    <w:rsid w:val="00B25C63"/>
    <w:rsid w:val="00B567F0"/>
    <w:rsid w:val="00B6179D"/>
    <w:rsid w:val="00B77619"/>
    <w:rsid w:val="00B92097"/>
    <w:rsid w:val="00B93A23"/>
    <w:rsid w:val="00BC09DC"/>
    <w:rsid w:val="00BC4E76"/>
    <w:rsid w:val="00BD2F0D"/>
    <w:rsid w:val="00C16C5E"/>
    <w:rsid w:val="00C16F9C"/>
    <w:rsid w:val="00C319DA"/>
    <w:rsid w:val="00C35382"/>
    <w:rsid w:val="00C51029"/>
    <w:rsid w:val="00C65E7E"/>
    <w:rsid w:val="00C85FFE"/>
    <w:rsid w:val="00C86568"/>
    <w:rsid w:val="00CF61B2"/>
    <w:rsid w:val="00D668E3"/>
    <w:rsid w:val="00D92885"/>
    <w:rsid w:val="00D93D75"/>
    <w:rsid w:val="00DB6058"/>
    <w:rsid w:val="00DC7741"/>
    <w:rsid w:val="00DE4569"/>
    <w:rsid w:val="00DF51AA"/>
    <w:rsid w:val="00E04896"/>
    <w:rsid w:val="00E4060E"/>
    <w:rsid w:val="00E51623"/>
    <w:rsid w:val="00E5639E"/>
    <w:rsid w:val="00E94C85"/>
    <w:rsid w:val="00EA1BF9"/>
    <w:rsid w:val="00EB2539"/>
    <w:rsid w:val="00EF66CD"/>
    <w:rsid w:val="00F46B9D"/>
    <w:rsid w:val="00F46CF1"/>
    <w:rsid w:val="00F558AD"/>
    <w:rsid w:val="00F87F52"/>
    <w:rsid w:val="00F935D0"/>
    <w:rsid w:val="00FA2BC0"/>
    <w:rsid w:val="00FA5038"/>
    <w:rsid w:val="00FC45D7"/>
    <w:rsid w:val="00FD4E6E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5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54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2454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2454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A1B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875545"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rsid w:val="00A96E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4C8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96ED4"/>
  </w:style>
  <w:style w:type="paragraph" w:styleId="BalloonText">
    <w:name w:val="Balloon Text"/>
    <w:basedOn w:val="Normal"/>
    <w:link w:val="BalloonTextChar"/>
    <w:uiPriority w:val="99"/>
    <w:semiHidden/>
    <w:rsid w:val="004B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C8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6</Pages>
  <Words>1198</Words>
  <Characters>6831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</dc:creator>
  <cp:keywords/>
  <dc:description/>
  <cp:lastModifiedBy>Maksimec</cp:lastModifiedBy>
  <cp:revision>11</cp:revision>
  <cp:lastPrinted>2016-04-20T01:48:00Z</cp:lastPrinted>
  <dcterms:created xsi:type="dcterms:W3CDTF">2016-03-29T23:59:00Z</dcterms:created>
  <dcterms:modified xsi:type="dcterms:W3CDTF">2016-04-22T05:42:00Z</dcterms:modified>
</cp:coreProperties>
</file>