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74" w:rsidRPr="009F50FC" w:rsidRDefault="0021236C" w:rsidP="00523AD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pacing w:val="-13"/>
          <w:sz w:val="28"/>
          <w:szCs w:val="28"/>
        </w:rPr>
        <w:t>Доклад</w:t>
      </w:r>
    </w:p>
    <w:p w:rsidR="00080874" w:rsidRPr="009F50FC" w:rsidRDefault="00080874" w:rsidP="00523AD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r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</w:p>
    <w:p w:rsidR="00080874" w:rsidRDefault="00080874" w:rsidP="00523AD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об </w:t>
      </w:r>
      <w:r w:rsidRPr="009F50FC">
        <w:rPr>
          <w:rFonts w:ascii="Times New Roman" w:hAnsi="Times New Roman" w:cs="Times New Roman"/>
          <w:bCs/>
          <w:sz w:val="28"/>
          <w:szCs w:val="28"/>
        </w:rPr>
        <w:t>эффективности такого контроля в 201</w:t>
      </w:r>
      <w:r w:rsidR="003512E2">
        <w:rPr>
          <w:rFonts w:ascii="Times New Roman" w:hAnsi="Times New Roman" w:cs="Times New Roman"/>
          <w:bCs/>
          <w:sz w:val="28"/>
          <w:szCs w:val="28"/>
        </w:rPr>
        <w:t>9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году на территории муниципального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образования «Тенькинский городской округ» Магаданской области </w:t>
      </w:r>
    </w:p>
    <w:p w:rsidR="00AF5279" w:rsidRPr="00AF5279" w:rsidRDefault="00AF5279" w:rsidP="00523A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973990" w:rsidRPr="00E45B6D" w:rsidRDefault="00973990" w:rsidP="00E45B6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="00E45B6D"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5B6D" w:rsidRPr="00E45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E45B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E45B6D">
        <w:rPr>
          <w:rFonts w:ascii="Times New Roman" w:hAnsi="Times New Roman" w:cs="Times New Roman"/>
          <w:b w:val="0"/>
          <w:color w:val="auto"/>
          <w:sz w:val="28"/>
          <w:szCs w:val="28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973990" w:rsidRDefault="00973990" w:rsidP="009739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973990" w:rsidRPr="009F50FC" w:rsidRDefault="00973990" w:rsidP="009739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A01A1F" w:rsidRDefault="00973990" w:rsidP="00A01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973990" w:rsidRPr="009F50FC" w:rsidRDefault="00A01A1F" w:rsidP="00A01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3990" w:rsidRPr="009F50FC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в границах муниципального образования;</w:t>
      </w:r>
    </w:p>
    <w:p w:rsidR="00973990" w:rsidRPr="009F50FC" w:rsidRDefault="00973990" w:rsidP="009739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973990" w:rsidRPr="009F50FC" w:rsidRDefault="00973990" w:rsidP="009739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973990" w:rsidRPr="003B14DF" w:rsidRDefault="003B14DF" w:rsidP="003B14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является администрация Тенькинского городского округа Магаданской области.</w:t>
      </w:r>
    </w:p>
    <w:p w:rsidR="00523AD9" w:rsidRDefault="00523AD9" w:rsidP="003B14DF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pacing w:val="-27"/>
          <w:sz w:val="28"/>
          <w:szCs w:val="28"/>
        </w:rPr>
      </w:pPr>
    </w:p>
    <w:p w:rsidR="0021236C" w:rsidRDefault="0021236C" w:rsidP="003B14DF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pacing w:val="-27"/>
          <w:sz w:val="28"/>
          <w:szCs w:val="28"/>
        </w:rPr>
      </w:pPr>
    </w:p>
    <w:p w:rsidR="00E45B6D" w:rsidRDefault="002D17A8" w:rsidP="003B14DF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lastRenderedPageBreak/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9F50FC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E45B6D" w:rsidRDefault="00E45B6D" w:rsidP="003B14DF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E45B6D" w:rsidRDefault="00E45B6D" w:rsidP="00E45B6D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6D">
        <w:rPr>
          <w:rFonts w:ascii="Times New Roman" w:hAnsi="Times New Roman" w:cs="Times New Roman"/>
          <w:sz w:val="28"/>
          <w:szCs w:val="28"/>
        </w:rPr>
        <w:t xml:space="preserve"> -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5B6D" w:rsidRDefault="00E45B6D" w:rsidP="00E45B6D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</w:t>
      </w:r>
      <w:r w:rsidRPr="00E45B6D">
        <w:rPr>
          <w:rFonts w:ascii="Times New Roman" w:hAnsi="Times New Roman" w:cs="Times New Roman"/>
          <w:bCs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5B6D" w:rsidRDefault="00E45B6D" w:rsidP="00E45B6D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45B6D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от 16 ноября 2015 года № 34).</w:t>
      </w:r>
    </w:p>
    <w:p w:rsidR="00E45B6D" w:rsidRDefault="00E45B6D" w:rsidP="00E45B6D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3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</w:t>
      </w:r>
    </w:p>
    <w:p w:rsidR="003B14DF" w:rsidRDefault="003B14DF" w:rsidP="003B14DF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</w:t>
      </w:r>
      <w:r w:rsidR="00AF5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000B41" w:rsidRDefault="003B14DF" w:rsidP="00000B41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Ст. 20 Жилищного кодекса РФ от 29.12.2004 № 188-ФЗ;</w:t>
      </w:r>
    </w:p>
    <w:p w:rsidR="00000B41" w:rsidRDefault="00000B41" w:rsidP="00000B41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020972" w:rsidRDefault="003B14DF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</w:t>
      </w:r>
      <w:r w:rsidR="00020972">
        <w:rPr>
          <w:rFonts w:ascii="Times New Roman" w:hAnsi="Times New Roman"/>
          <w:sz w:val="28"/>
          <w:szCs w:val="28"/>
        </w:rPr>
        <w:t xml:space="preserve">еральный Закон от 02.05.2006 </w:t>
      </w:r>
      <w:r>
        <w:rPr>
          <w:rFonts w:ascii="Times New Roman" w:hAnsi="Times New Roman"/>
          <w:sz w:val="28"/>
          <w:szCs w:val="28"/>
        </w:rPr>
        <w:t>№ 59-ФЗ «О порядке рассмотрения обращений граждан РФ»;</w:t>
      </w:r>
    </w:p>
    <w:p w:rsidR="00020972" w:rsidRDefault="003B14DF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06.05.20</w:t>
      </w:r>
      <w:r w:rsidR="00020972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домах»;</w:t>
      </w:r>
    </w:p>
    <w:p w:rsidR="00020972" w:rsidRDefault="00020972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14DF">
        <w:rPr>
          <w:rFonts w:ascii="Times New Roman" w:hAnsi="Times New Roman"/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доме»;</w:t>
      </w:r>
    </w:p>
    <w:p w:rsidR="00020972" w:rsidRDefault="00020972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20972" w:rsidRDefault="00020972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020972" w:rsidRDefault="00020972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020972" w:rsidRDefault="00020972" w:rsidP="00020972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020972" w:rsidRDefault="00020972" w:rsidP="00020972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28.01.2016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>№ 62-па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F7930"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жилищного контроля администрации Тенькинского городского округа Магаданской области»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930" w:rsidRDefault="001F7930" w:rsidP="00020972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12E2">
        <w:rPr>
          <w:rFonts w:ascii="Times New Roman" w:hAnsi="Times New Roman" w:cs="Times New Roman"/>
          <w:bCs/>
          <w:sz w:val="28"/>
          <w:szCs w:val="28"/>
        </w:rPr>
        <w:t>25.10.2019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12E2">
        <w:rPr>
          <w:rFonts w:ascii="Times New Roman" w:hAnsi="Times New Roman" w:cs="Times New Roman"/>
          <w:bCs/>
          <w:sz w:val="28"/>
          <w:szCs w:val="28"/>
        </w:rPr>
        <w:t>293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7930" w:rsidRDefault="001F7930" w:rsidP="00020972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21.04.2016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237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взаимодействия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органа муниципального жилищного контроля администрации Тенькинского городского округа с Государственной жилищной инспекцией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B41" w:rsidRDefault="001F7930" w:rsidP="00000B41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126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6B7312" w:rsidRPr="006B7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12">
        <w:rPr>
          <w:rFonts w:ascii="Times New Roman" w:hAnsi="Times New Roman" w:cs="Times New Roman"/>
          <w:bCs/>
          <w:sz w:val="28"/>
          <w:szCs w:val="28"/>
        </w:rPr>
        <w:t xml:space="preserve">Муниципальный земельный контроль осуществляется в соответствии со следующими </w:t>
      </w:r>
      <w:r w:rsidR="006B7312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BA4698" w:rsidRDefault="00000B41" w:rsidP="00BA469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F50F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136-ФЗ;</w:t>
      </w:r>
    </w:p>
    <w:p w:rsidR="00000B41" w:rsidRDefault="00BA4698" w:rsidP="00BA469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B41"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000B41"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="00000B41"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Pr="00C57F44" w:rsidRDefault="00C57F44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4E168E" w:rsidRDefault="004E168E" w:rsidP="004E168E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5C38BF">
        <w:rPr>
          <w:rFonts w:ascii="Times New Roman" w:hAnsi="Times New Roman" w:cs="Times New Roman"/>
          <w:sz w:val="28"/>
          <w:szCs w:val="28"/>
        </w:rPr>
        <w:t xml:space="preserve">.07.2002 </w:t>
      </w:r>
      <w:r w:rsidRPr="009F50FC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назначения»;</w:t>
      </w:r>
    </w:p>
    <w:p w:rsidR="002431CC" w:rsidRDefault="002431CC" w:rsidP="002431CC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5C38BF" w:rsidRPr="005C38BF" w:rsidRDefault="005C38BF" w:rsidP="005C38BF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15.11.</w:t>
      </w:r>
      <w:r w:rsidRPr="009F50F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689 «О</w:t>
      </w:r>
      <w:r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DD559E" w:rsidRPr="00DD559E" w:rsidRDefault="00000B41" w:rsidP="00892D42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2D42"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="0089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от 10.03.2016 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559E">
        <w:rPr>
          <w:rFonts w:ascii="Times New Roman" w:hAnsi="Times New Roman" w:cs="Times New Roman"/>
          <w:bCs/>
          <w:sz w:val="28"/>
          <w:szCs w:val="28"/>
        </w:rPr>
        <w:t>137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 w:rsidR="00DD559E"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 w:rsidR="00DD559E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 w:rsidR="00892D42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DD559E"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DD559E" w:rsidRDefault="00DD559E" w:rsidP="00DD559E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20.06.2016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320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4698" w:rsidRPr="00BA4698" w:rsidRDefault="00BA4698" w:rsidP="00DD559E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69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BA4698">
        <w:rPr>
          <w:rFonts w:ascii="Times New Roman" w:hAnsi="Times New Roman" w:cs="Times New Roman"/>
          <w:bCs/>
          <w:sz w:val="28"/>
          <w:szCs w:val="28"/>
        </w:rPr>
        <w:t xml:space="preserve"> Нормативные правовые акты, регламентирующие деятельность органов муниципального лесного контроля и их должностных лиц:</w:t>
      </w:r>
    </w:p>
    <w:p w:rsidR="005C38BF" w:rsidRDefault="005C38BF" w:rsidP="005C3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9F50F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F50FC">
        <w:rPr>
          <w:rFonts w:ascii="Times New Roman" w:hAnsi="Times New Roman" w:cs="Times New Roman"/>
          <w:sz w:val="28"/>
          <w:szCs w:val="28"/>
        </w:rPr>
        <w:t>-ФЗ;</w:t>
      </w:r>
    </w:p>
    <w:p w:rsidR="00FF45A7" w:rsidRDefault="00C57F44" w:rsidP="00FF45A7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45A7" w:rsidRPr="009F50F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FF45A7"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="00FF45A7"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5C38BF" w:rsidRPr="00C57F44" w:rsidRDefault="005C38BF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Федеральный закон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№ 7-ФЗ «Об охране окружающей среды»;</w:t>
      </w:r>
    </w:p>
    <w:p w:rsidR="005C38BF" w:rsidRPr="00DD559E" w:rsidRDefault="005C38BF" w:rsidP="005C38BF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13.07.2016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360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«Тенькинский городс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Pr="009F50FC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5C38BF" w:rsidRDefault="005C38BF" w:rsidP="005C38BF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45A7">
        <w:rPr>
          <w:rFonts w:ascii="Times New Roman" w:hAnsi="Times New Roman" w:cs="Times New Roman"/>
          <w:bCs/>
          <w:sz w:val="28"/>
          <w:szCs w:val="28"/>
        </w:rPr>
        <w:t>26.08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45A7">
        <w:rPr>
          <w:rFonts w:ascii="Times New Roman" w:hAnsi="Times New Roman" w:cs="Times New Roman"/>
          <w:bCs/>
          <w:sz w:val="28"/>
          <w:szCs w:val="28"/>
        </w:rPr>
        <w:t>429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Pr="009F50FC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«Тенькинский городск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FF45A7" w:rsidRDefault="00FF45A7" w:rsidP="005C38BF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FF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>униципальный контроль за обеспечением сохранности автомобильных дорог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FF45A7" w:rsidRDefault="00FF45A7" w:rsidP="00FF45A7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Pr="00C57F44" w:rsidRDefault="00C57F44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FF45A7" w:rsidRDefault="00FF45A7" w:rsidP="005C38BF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08.11.2007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5A7" w:rsidRPr="00DD559E" w:rsidRDefault="00D1295D" w:rsidP="00FF45A7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A7">
        <w:rPr>
          <w:rFonts w:ascii="Times New Roman" w:hAnsi="Times New Roman" w:cs="Times New Roman"/>
          <w:sz w:val="28"/>
          <w:szCs w:val="28"/>
        </w:rPr>
        <w:t xml:space="preserve">- </w:t>
      </w:r>
      <w:r w:rsidR="00FF45A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FF45A7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FF45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425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 в границах муниципального образования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</w:t>
      </w:r>
      <w:r w:rsidR="00FF45A7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6758BA">
        <w:rPr>
          <w:rFonts w:ascii="Times New Roman" w:hAnsi="Times New Roman" w:cs="Times New Roman"/>
          <w:bCs/>
          <w:sz w:val="28"/>
          <w:szCs w:val="28"/>
        </w:rPr>
        <w:t>»</w:t>
      </w:r>
      <w:r w:rsidR="00FF45A7"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95D" w:rsidRDefault="00FF45A7" w:rsidP="00D1295D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129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1295D">
        <w:rPr>
          <w:rFonts w:ascii="Times New Roman" w:hAnsi="Times New Roman" w:cs="Times New Roman"/>
          <w:bCs/>
          <w:sz w:val="28"/>
          <w:szCs w:val="28"/>
        </w:rPr>
        <w:t>01.07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1295D">
        <w:rPr>
          <w:rFonts w:ascii="Times New Roman" w:hAnsi="Times New Roman" w:cs="Times New Roman"/>
          <w:bCs/>
          <w:sz w:val="28"/>
          <w:szCs w:val="28"/>
        </w:rPr>
        <w:t>346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="00D1295D"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</w:t>
      </w:r>
      <w:r w:rsidR="00D12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8BA" w:rsidRPr="006758BA" w:rsidRDefault="00D1295D" w:rsidP="006758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9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 </w:t>
      </w:r>
      <w:r w:rsidR="006758BA"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>униципальный контроль за размещением средств наружной рекламы</w:t>
      </w:r>
      <w:r w:rsidR="006758B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D1295D" w:rsidRDefault="006758BA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758BA" w:rsidRDefault="006758BA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13.03.2006 </w:t>
      </w:r>
      <w:r w:rsidRPr="009F50FC">
        <w:rPr>
          <w:rFonts w:ascii="Times New Roman" w:hAnsi="Times New Roman"/>
          <w:sz w:val="28"/>
          <w:szCs w:val="28"/>
        </w:rPr>
        <w:t xml:space="preserve">№ 38-ФЗ «О рекламе»; </w:t>
      </w:r>
    </w:p>
    <w:p w:rsidR="006758BA" w:rsidRPr="00DD559E" w:rsidRDefault="006758BA" w:rsidP="006758BA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430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F50FC">
        <w:rPr>
          <w:rFonts w:ascii="Times New Roman" w:hAnsi="Times New Roman" w:cs="Times New Roman"/>
          <w:bCs/>
          <w:sz w:val="28"/>
          <w:szCs w:val="28"/>
        </w:rPr>
        <w:t>;</w:t>
      </w:r>
    </w:p>
    <w:p w:rsidR="006758BA" w:rsidRDefault="006758BA" w:rsidP="006758BA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20.08.2016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424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58BA" w:rsidRDefault="006758BA" w:rsidP="006758BA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A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0FC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>
        <w:rPr>
          <w:rFonts w:ascii="Times New Roman" w:hAnsi="Times New Roman" w:cs="Times New Roman"/>
          <w:sz w:val="28"/>
          <w:szCs w:val="28"/>
        </w:rPr>
        <w:t>в области торговой деятельности осуществляется в соответствии с:</w:t>
      </w:r>
    </w:p>
    <w:p w:rsidR="006758BA" w:rsidRDefault="006758BA" w:rsidP="006758BA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F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F50FC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30.12.2001 </w:t>
      </w:r>
      <w:r w:rsidRPr="009F50FC">
        <w:rPr>
          <w:rFonts w:ascii="Times New Roman" w:hAnsi="Times New Roman" w:cs="Times New Roman"/>
          <w:sz w:val="28"/>
          <w:szCs w:val="28"/>
        </w:rPr>
        <w:t>№ 195-ФЗ;</w:t>
      </w:r>
    </w:p>
    <w:p w:rsidR="00C57F44" w:rsidRDefault="00C57F44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8913EC" w:rsidRDefault="008913EC" w:rsidP="00C57F44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0F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50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28.12.2009 </w:t>
      </w:r>
      <w:r w:rsidRPr="009F50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381</w:t>
      </w:r>
      <w:r w:rsidRPr="009F50F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</w:t>
      </w:r>
      <w:r w:rsidRPr="009F5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9F50FC">
        <w:rPr>
          <w:rFonts w:ascii="Times New Roman" w:hAnsi="Times New Roman"/>
          <w:sz w:val="28"/>
          <w:szCs w:val="28"/>
        </w:rPr>
        <w:t>»;</w:t>
      </w:r>
    </w:p>
    <w:p w:rsidR="00D463B1" w:rsidRPr="00DD559E" w:rsidRDefault="00D463B1" w:rsidP="00D463B1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431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контроля в области торговой деятельности на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муниципального образования «Тенькинский городской округ» Магаданской области»;</w:t>
      </w:r>
    </w:p>
    <w:p w:rsidR="001E39A3" w:rsidRDefault="00D463B1" w:rsidP="00477D0D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2</w:t>
      </w:r>
      <w:r w:rsidR="003166D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.08.2016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66D3">
        <w:rPr>
          <w:rFonts w:ascii="Times New Roman" w:hAnsi="Times New Roman" w:cs="Times New Roman"/>
          <w:bCs/>
          <w:sz w:val="28"/>
          <w:szCs w:val="28"/>
        </w:rPr>
        <w:t>32</w:t>
      </w:r>
      <w:r w:rsidRPr="009F50FC">
        <w:rPr>
          <w:rFonts w:ascii="Times New Roman" w:hAnsi="Times New Roman" w:cs="Times New Roman"/>
          <w:bCs/>
          <w:sz w:val="28"/>
          <w:szCs w:val="28"/>
        </w:rPr>
        <w:t>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осуществления </w:t>
      </w:r>
      <w:r w:rsidRPr="009F50F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166D3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3166D3" w:rsidRPr="009F50FC">
        <w:rPr>
          <w:rFonts w:ascii="Times New Roman" w:hAnsi="Times New Roman" w:cs="Times New Roman"/>
          <w:bCs/>
          <w:sz w:val="28"/>
          <w:szCs w:val="28"/>
        </w:rPr>
        <w:t>за размещением средств наружной рекламы на территории муниципального образования «Тенькинский городск</w:t>
      </w:r>
      <w:r w:rsidR="003166D3"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477D0D" w:rsidRPr="00AF5279" w:rsidRDefault="00477D0D" w:rsidP="00477D0D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2.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9F50FC" w:rsidRDefault="00B60D72" w:rsidP="00E1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484FF5">
        <w:rPr>
          <w:rFonts w:ascii="Times New Roman" w:hAnsi="Times New Roman" w:cs="Times New Roman"/>
          <w:sz w:val="28"/>
          <w:szCs w:val="28"/>
        </w:rPr>
        <w:t xml:space="preserve">» от 26.11.2008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9F50FC" w:rsidRDefault="00463953" w:rsidP="00FD3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7C6D96">
        <w:rPr>
          <w:rFonts w:ascii="Times New Roman" w:hAnsi="Times New Roman" w:cs="Times New Roman"/>
          <w:sz w:val="28"/>
          <w:szCs w:val="28"/>
        </w:rPr>
        <w:t>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D857E3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D857E3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 не имеет </w:t>
      </w:r>
      <w:r w:rsidR="00CF3BF0" w:rsidRPr="009F50FC">
        <w:rPr>
          <w:rFonts w:ascii="Times New Roman" w:hAnsi="Times New Roman" w:cs="Times New Roman"/>
          <w:sz w:val="28"/>
          <w:szCs w:val="28"/>
        </w:rPr>
        <w:t>статус юридического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Финансовое обеспечение отдела муниципального контроля на территории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0F65"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>»</w:t>
      </w:r>
      <w:r w:rsidR="00484FF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930F65" w:rsidRPr="009F50FC">
        <w:rPr>
          <w:rFonts w:ascii="Times New Roman" w:hAnsi="Times New Roman" w:cs="Times New Roman"/>
          <w:sz w:val="28"/>
          <w:szCs w:val="28"/>
        </w:rPr>
        <w:t>в 201</w:t>
      </w:r>
      <w:r w:rsidR="003512E2">
        <w:rPr>
          <w:rFonts w:ascii="Times New Roman" w:hAnsi="Times New Roman" w:cs="Times New Roman"/>
          <w:sz w:val="28"/>
          <w:szCs w:val="28"/>
        </w:rPr>
        <w:t>9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году осуществлялось из средств местного бюджета.</w:t>
      </w:r>
    </w:p>
    <w:p w:rsidR="00B0588E" w:rsidRDefault="00463953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Функции </w:t>
      </w:r>
      <w:r w:rsidR="00C2155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тдела: </w:t>
      </w:r>
    </w:p>
    <w:p w:rsid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88E">
        <w:rPr>
          <w:rFonts w:ascii="Times New Roman" w:hAnsi="Times New Roman" w:cs="Times New Roman"/>
          <w:sz w:val="28"/>
          <w:szCs w:val="28"/>
        </w:rPr>
        <w:t xml:space="preserve"> - </w:t>
      </w:r>
      <w:r w:rsidR="00484FF5" w:rsidRPr="009F50FC">
        <w:rPr>
          <w:rFonts w:ascii="Times New Roman" w:hAnsi="Times New Roman" w:cs="Times New Roman"/>
          <w:sz w:val="28"/>
          <w:szCs w:val="28"/>
        </w:rPr>
        <w:t>муниципальный жилищный контроль;</w:t>
      </w:r>
    </w:p>
    <w:p w:rsid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88E">
        <w:rPr>
          <w:rFonts w:ascii="Times New Roman" w:hAnsi="Times New Roman" w:cs="Times New Roman"/>
          <w:sz w:val="28"/>
          <w:szCs w:val="28"/>
        </w:rPr>
        <w:t xml:space="preserve"> - </w:t>
      </w:r>
      <w:r w:rsidR="00484FF5" w:rsidRPr="009F50FC"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B0588E" w:rsidRP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8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4FF5" w:rsidRPr="009F50FC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в границах муниципального образования;</w:t>
      </w:r>
    </w:p>
    <w:p w:rsid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4FF5" w:rsidRPr="009F50FC">
        <w:rPr>
          <w:rFonts w:ascii="Times New Roman" w:hAnsi="Times New Roman" w:cs="Times New Roman"/>
          <w:sz w:val="28"/>
          <w:szCs w:val="28"/>
        </w:rPr>
        <w:t>муниципальный контроль за размещением средств наружной рекламы;</w:t>
      </w:r>
    </w:p>
    <w:p w:rsidR="00080874" w:rsidRPr="00B0588E" w:rsidRDefault="00B0588E" w:rsidP="00B058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4FF5" w:rsidRPr="009F50FC"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деятельности.</w:t>
      </w:r>
    </w:p>
    <w:p w:rsidR="00463953" w:rsidRPr="009F50FC" w:rsidRDefault="00F73A88" w:rsidP="009F50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</w:t>
      </w:r>
      <w:r w:rsidR="00D857E3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 </w:t>
      </w:r>
      <w:r w:rsidR="00463953" w:rsidRPr="009F50FC">
        <w:rPr>
          <w:rFonts w:ascii="Times New Roman" w:hAnsi="Times New Roman" w:cs="Times New Roman"/>
          <w:sz w:val="28"/>
          <w:szCs w:val="28"/>
        </w:rPr>
        <w:t>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</w:t>
      </w:r>
      <w:r w:rsidRPr="009F50FC">
        <w:rPr>
          <w:rFonts w:ascii="Times New Roman" w:hAnsi="Times New Roman" w:cs="Times New Roman"/>
          <w:sz w:val="28"/>
          <w:szCs w:val="28"/>
        </w:rPr>
        <w:t xml:space="preserve">ругу, Государственной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D857E3">
        <w:rPr>
          <w:rFonts w:ascii="Times New Roman" w:hAnsi="Times New Roman" w:cs="Times New Roman"/>
          <w:sz w:val="28"/>
          <w:szCs w:val="28"/>
        </w:rPr>
        <w:t>инспекцией Магаданской области.</w:t>
      </w:r>
    </w:p>
    <w:p w:rsidR="00FA13EB" w:rsidRPr="00C2155A" w:rsidRDefault="00FA13EB" w:rsidP="000808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B0588E">
        <w:rPr>
          <w:rFonts w:ascii="Times New Roman" w:hAnsi="Times New Roman" w:cs="Times New Roman"/>
          <w:sz w:val="28"/>
          <w:szCs w:val="28"/>
        </w:rPr>
        <w:t>Отдела</w:t>
      </w:r>
      <w:r w:rsidRPr="009F50F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0588E">
        <w:rPr>
          <w:rFonts w:ascii="Times New Roman" w:hAnsi="Times New Roman" w:cs="Times New Roman"/>
          <w:sz w:val="28"/>
          <w:szCs w:val="28"/>
        </w:rPr>
        <w:t>ет четыре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2C6069" w:rsidRPr="009F50FC">
        <w:rPr>
          <w:rFonts w:ascii="Times New Roman" w:hAnsi="Times New Roman" w:cs="Times New Roman"/>
          <w:sz w:val="28"/>
          <w:szCs w:val="28"/>
        </w:rPr>
        <w:t>единицы: начальник отдела, главный специалист – муниципальный инспектор, ведущий специалист – м</w:t>
      </w:r>
      <w:r w:rsidR="00B0588E">
        <w:rPr>
          <w:rFonts w:ascii="Times New Roman" w:hAnsi="Times New Roman" w:cs="Times New Roman"/>
          <w:sz w:val="28"/>
          <w:szCs w:val="28"/>
        </w:rPr>
        <w:t>униципальный жилищный инспектор, ведущий-специалист юрист.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  <w:r w:rsidR="00B05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9A2" w:rsidRPr="00100E5F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pacing w:val="-3"/>
          <w:sz w:val="28"/>
          <w:szCs w:val="28"/>
        </w:rPr>
        <w:t>По итогам работы в 201</w:t>
      </w:r>
      <w:r w:rsidR="003512E2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году на территории муниципального образования «Тенькинский городской округ» Магаданской области </w:t>
      </w:r>
      <w:r w:rsidR="00100E5F" w:rsidRPr="009F50FC">
        <w:rPr>
          <w:rFonts w:ascii="Times New Roman" w:hAnsi="Times New Roman" w:cs="Times New Roman"/>
          <w:spacing w:val="-3"/>
          <w:sz w:val="28"/>
          <w:szCs w:val="28"/>
        </w:rPr>
        <w:t>осуществл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ялось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вид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3512E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контроля: </w:t>
      </w:r>
      <w:r w:rsidRPr="009F50FC">
        <w:rPr>
          <w:rFonts w:ascii="Times New Roman" w:hAnsi="Times New Roman" w:cs="Times New Roman"/>
          <w:spacing w:val="-3"/>
          <w:sz w:val="28"/>
          <w:szCs w:val="28"/>
        </w:rPr>
        <w:t>муниципальный жилищный контроль</w:t>
      </w:r>
      <w:r w:rsidR="00100E5F">
        <w:rPr>
          <w:rFonts w:ascii="Times New Roman" w:hAnsi="Times New Roman" w:cs="Times New Roman"/>
          <w:spacing w:val="-3"/>
          <w:sz w:val="28"/>
          <w:szCs w:val="28"/>
        </w:rPr>
        <w:t xml:space="preserve"> и муниципальный земельный контроль</w:t>
      </w:r>
      <w:r w:rsidR="003512E2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63953" w:rsidRPr="009F50FC" w:rsidRDefault="00463953" w:rsidP="00D070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A6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D73CA6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="00100E5F" w:rsidRPr="00D73CA6">
        <w:rPr>
          <w:rFonts w:ascii="Times New Roman" w:hAnsi="Times New Roman" w:cs="Times New Roman"/>
          <w:sz w:val="28"/>
          <w:szCs w:val="28"/>
        </w:rPr>
        <w:t xml:space="preserve">в </w:t>
      </w:r>
      <w:r w:rsidRPr="00D73CA6">
        <w:rPr>
          <w:rFonts w:ascii="Times New Roman" w:hAnsi="Times New Roman" w:cs="Times New Roman"/>
          <w:sz w:val="28"/>
          <w:szCs w:val="28"/>
        </w:rPr>
        <w:t>201</w:t>
      </w:r>
      <w:r w:rsidR="00D73CA6" w:rsidRPr="00D73CA6">
        <w:rPr>
          <w:rFonts w:ascii="Times New Roman" w:hAnsi="Times New Roman" w:cs="Times New Roman"/>
          <w:sz w:val="28"/>
          <w:szCs w:val="28"/>
        </w:rPr>
        <w:t xml:space="preserve">9 </w:t>
      </w:r>
      <w:r w:rsidRPr="00D73CA6">
        <w:rPr>
          <w:rFonts w:ascii="Times New Roman" w:hAnsi="Times New Roman" w:cs="Times New Roman"/>
          <w:sz w:val="28"/>
          <w:szCs w:val="28"/>
        </w:rPr>
        <w:t>год</w:t>
      </w:r>
      <w:r w:rsidR="00F73A88" w:rsidRPr="00D73CA6">
        <w:rPr>
          <w:rFonts w:ascii="Times New Roman" w:hAnsi="Times New Roman" w:cs="Times New Roman"/>
          <w:sz w:val="28"/>
          <w:szCs w:val="28"/>
        </w:rPr>
        <w:t>у</w:t>
      </w:r>
      <w:r w:rsidRPr="00D73CA6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D73CA6">
        <w:rPr>
          <w:rFonts w:ascii="Times New Roman" w:hAnsi="Times New Roman" w:cs="Times New Roman"/>
          <w:sz w:val="28"/>
          <w:szCs w:val="28"/>
        </w:rPr>
        <w:t>.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741" w:rsidRPr="009F50FC" w:rsidRDefault="00D07084" w:rsidP="00C9206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D558E7">
        <w:rPr>
          <w:rStyle w:val="FontStyle27"/>
          <w:sz w:val="28"/>
          <w:szCs w:val="28"/>
        </w:rPr>
        <w:lastRenderedPageBreak/>
        <w:t xml:space="preserve">В рамках муниципального жилищного контроля </w:t>
      </w:r>
      <w:r w:rsidR="00100E5F" w:rsidRPr="00D558E7">
        <w:rPr>
          <w:rStyle w:val="FontStyle27"/>
          <w:sz w:val="28"/>
          <w:szCs w:val="28"/>
        </w:rPr>
        <w:t>Отделом</w:t>
      </w:r>
      <w:r w:rsidRPr="00D558E7">
        <w:rPr>
          <w:rStyle w:val="FontStyle27"/>
          <w:sz w:val="28"/>
          <w:szCs w:val="28"/>
        </w:rPr>
        <w:t xml:space="preserve"> </w:t>
      </w:r>
      <w:r w:rsidR="00B40741" w:rsidRPr="00D558E7">
        <w:rPr>
          <w:rStyle w:val="FontStyle27"/>
          <w:sz w:val="28"/>
          <w:szCs w:val="28"/>
        </w:rPr>
        <w:t xml:space="preserve">в отношении пяти юридических лиц было </w:t>
      </w:r>
      <w:r w:rsidRPr="00D558E7">
        <w:rPr>
          <w:rStyle w:val="FontStyle27"/>
          <w:sz w:val="28"/>
          <w:szCs w:val="28"/>
        </w:rPr>
        <w:t xml:space="preserve">проведено </w:t>
      </w:r>
      <w:r w:rsidR="00D558E7">
        <w:rPr>
          <w:rStyle w:val="FontStyle27"/>
          <w:sz w:val="28"/>
          <w:szCs w:val="28"/>
        </w:rPr>
        <w:t>15</w:t>
      </w:r>
      <w:r w:rsidRPr="00D558E7">
        <w:rPr>
          <w:rStyle w:val="FontStyle27"/>
          <w:sz w:val="28"/>
          <w:szCs w:val="28"/>
        </w:rPr>
        <w:t xml:space="preserve"> внеплановых выездных</w:t>
      </w:r>
      <w:r w:rsidR="00B40741" w:rsidRPr="00D558E7">
        <w:rPr>
          <w:rStyle w:val="FontStyle27"/>
          <w:sz w:val="28"/>
          <w:szCs w:val="28"/>
        </w:rPr>
        <w:t xml:space="preserve"> проверок</w:t>
      </w:r>
      <w:r w:rsidR="00A557B0" w:rsidRPr="00D558E7">
        <w:rPr>
          <w:rStyle w:val="FontStyle27"/>
          <w:sz w:val="28"/>
          <w:szCs w:val="28"/>
        </w:rPr>
        <w:t xml:space="preserve"> (</w:t>
      </w:r>
      <w:r w:rsidR="00D558E7">
        <w:rPr>
          <w:rStyle w:val="FontStyle27"/>
          <w:sz w:val="28"/>
          <w:szCs w:val="28"/>
        </w:rPr>
        <w:t>13</w:t>
      </w:r>
      <w:r w:rsidR="00A557B0" w:rsidRPr="00D558E7">
        <w:rPr>
          <w:rStyle w:val="FontStyle27"/>
          <w:sz w:val="28"/>
          <w:szCs w:val="28"/>
        </w:rPr>
        <w:t xml:space="preserve"> – по заявлениям (обращениям) физических и юридических лиц</w:t>
      </w:r>
      <w:r w:rsidR="00B40741" w:rsidRPr="00D558E7">
        <w:rPr>
          <w:rStyle w:val="FontStyle27"/>
          <w:sz w:val="28"/>
          <w:szCs w:val="28"/>
        </w:rPr>
        <w:t>,</w:t>
      </w:r>
      <w:r w:rsidR="00A557B0" w:rsidRPr="00D558E7">
        <w:rPr>
          <w:rStyle w:val="FontStyle27"/>
          <w:sz w:val="28"/>
          <w:szCs w:val="28"/>
        </w:rPr>
        <w:t xml:space="preserve"> 2 – по контролю за исполнением предписаний, выданных по результатам проведённой ранее проверки</w:t>
      </w:r>
      <w:r w:rsidR="000967EB" w:rsidRPr="00D558E7">
        <w:rPr>
          <w:rStyle w:val="FontStyle27"/>
          <w:sz w:val="28"/>
          <w:szCs w:val="28"/>
        </w:rPr>
        <w:t>)</w:t>
      </w:r>
      <w:r w:rsidR="00A557B0" w:rsidRPr="00D558E7">
        <w:rPr>
          <w:rStyle w:val="FontStyle27"/>
          <w:sz w:val="28"/>
          <w:szCs w:val="28"/>
        </w:rPr>
        <w:t xml:space="preserve">, </w:t>
      </w:r>
      <w:r w:rsidR="00B40741" w:rsidRPr="00D558E7">
        <w:rPr>
          <w:rStyle w:val="FontStyle27"/>
          <w:sz w:val="28"/>
          <w:szCs w:val="28"/>
        </w:rPr>
        <w:t xml:space="preserve">выдано </w:t>
      </w:r>
      <w:r w:rsidR="00026CE4">
        <w:rPr>
          <w:rStyle w:val="FontStyle27"/>
          <w:sz w:val="28"/>
          <w:szCs w:val="28"/>
        </w:rPr>
        <w:t>7</w:t>
      </w:r>
      <w:r w:rsidR="00B40741" w:rsidRPr="00D558E7">
        <w:rPr>
          <w:rStyle w:val="FontStyle27"/>
          <w:sz w:val="28"/>
          <w:szCs w:val="28"/>
        </w:rPr>
        <w:t xml:space="preserve"> предписани</w:t>
      </w:r>
      <w:r w:rsidR="00D558E7">
        <w:rPr>
          <w:rStyle w:val="FontStyle27"/>
          <w:sz w:val="28"/>
          <w:szCs w:val="28"/>
        </w:rPr>
        <w:t>й</w:t>
      </w:r>
      <w:r w:rsidR="00B40741" w:rsidRPr="00D558E7">
        <w:rPr>
          <w:rStyle w:val="FontStyle27"/>
          <w:sz w:val="28"/>
          <w:szCs w:val="28"/>
        </w:rPr>
        <w:t xml:space="preserve"> об устранении выявленных нарушений законодательства. </w:t>
      </w:r>
      <w:r w:rsidRPr="00D558E7">
        <w:rPr>
          <w:rStyle w:val="FontStyle27"/>
          <w:sz w:val="28"/>
          <w:szCs w:val="28"/>
        </w:rPr>
        <w:t>Проверк</w:t>
      </w:r>
      <w:r w:rsidR="009C2256" w:rsidRPr="00D558E7">
        <w:rPr>
          <w:rStyle w:val="FontStyle27"/>
          <w:sz w:val="28"/>
          <w:szCs w:val="28"/>
        </w:rPr>
        <w:t>и</w:t>
      </w:r>
      <w:r w:rsidRPr="00D558E7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</w:t>
      </w:r>
      <w:r w:rsidRPr="009F50FC">
        <w:rPr>
          <w:rStyle w:val="FontStyle27"/>
          <w:sz w:val="28"/>
          <w:szCs w:val="28"/>
        </w:rPr>
        <w:t xml:space="preserve"> </w:t>
      </w:r>
    </w:p>
    <w:p w:rsidR="00C92066" w:rsidRDefault="00C92066" w:rsidP="00A1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К проведению мероприятий по</w:t>
      </w:r>
      <w:r w:rsidR="00A557B0">
        <w:rPr>
          <w:rFonts w:ascii="Times New Roman" w:hAnsi="Times New Roman" w:cs="Times New Roman"/>
          <w:sz w:val="28"/>
          <w:szCs w:val="28"/>
        </w:rPr>
        <w:t xml:space="preserve"> муниципальному жилищному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контролю в 201</w:t>
      </w:r>
      <w:r w:rsidR="003512E2">
        <w:rPr>
          <w:rFonts w:ascii="Times New Roman" w:hAnsi="Times New Roman" w:cs="Times New Roman"/>
          <w:sz w:val="28"/>
          <w:szCs w:val="28"/>
        </w:rPr>
        <w:t>9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5E00C5">
        <w:rPr>
          <w:rFonts w:ascii="Times New Roman" w:hAnsi="Times New Roman" w:cs="Times New Roman"/>
          <w:sz w:val="28"/>
          <w:szCs w:val="28"/>
        </w:rPr>
        <w:t xml:space="preserve">году </w:t>
      </w:r>
      <w:r w:rsidR="003512E2">
        <w:rPr>
          <w:rFonts w:ascii="Times New Roman" w:hAnsi="Times New Roman" w:cs="Times New Roman"/>
          <w:sz w:val="28"/>
          <w:szCs w:val="28"/>
        </w:rPr>
        <w:t xml:space="preserve">экспертных организаций не привлекалось. </w:t>
      </w:r>
    </w:p>
    <w:p w:rsidR="00A557B0" w:rsidRDefault="003545CA" w:rsidP="00A1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A17620">
        <w:rPr>
          <w:rFonts w:ascii="Times New Roman" w:hAnsi="Times New Roman" w:cs="Times New Roman"/>
          <w:sz w:val="28"/>
          <w:szCs w:val="28"/>
        </w:rPr>
        <w:t xml:space="preserve">ого земельного контроля Отделом </w:t>
      </w:r>
      <w:r w:rsidR="00A17620" w:rsidRPr="009F50FC">
        <w:rPr>
          <w:rStyle w:val="FontStyle27"/>
          <w:sz w:val="28"/>
          <w:szCs w:val="28"/>
        </w:rPr>
        <w:t xml:space="preserve">в отношении </w:t>
      </w:r>
      <w:r w:rsidR="00CC2A62">
        <w:rPr>
          <w:rStyle w:val="FontStyle27"/>
          <w:sz w:val="28"/>
          <w:szCs w:val="28"/>
        </w:rPr>
        <w:t xml:space="preserve">2 </w:t>
      </w:r>
      <w:r w:rsidR="001E5556">
        <w:rPr>
          <w:rStyle w:val="FontStyle27"/>
          <w:sz w:val="28"/>
          <w:szCs w:val="28"/>
        </w:rPr>
        <w:t>юридическ</w:t>
      </w:r>
      <w:r w:rsidR="00C01F56">
        <w:rPr>
          <w:rStyle w:val="FontStyle27"/>
          <w:sz w:val="28"/>
          <w:szCs w:val="28"/>
        </w:rPr>
        <w:t>их</w:t>
      </w:r>
      <w:r w:rsidR="001E5556">
        <w:rPr>
          <w:rStyle w:val="FontStyle27"/>
          <w:sz w:val="28"/>
          <w:szCs w:val="28"/>
        </w:rPr>
        <w:t xml:space="preserve"> лиц </w:t>
      </w:r>
      <w:r w:rsidR="00A17620" w:rsidRPr="009F50FC">
        <w:rPr>
          <w:rStyle w:val="FontStyle27"/>
          <w:sz w:val="28"/>
          <w:szCs w:val="28"/>
        </w:rPr>
        <w:t>был</w:t>
      </w:r>
      <w:r w:rsidR="00CC2A62">
        <w:rPr>
          <w:rStyle w:val="FontStyle27"/>
          <w:sz w:val="28"/>
          <w:szCs w:val="28"/>
        </w:rPr>
        <w:t>о</w:t>
      </w:r>
      <w:r w:rsidR="00A17620" w:rsidRPr="009F50FC">
        <w:rPr>
          <w:rStyle w:val="FontStyle27"/>
          <w:sz w:val="28"/>
          <w:szCs w:val="28"/>
        </w:rPr>
        <w:t xml:space="preserve"> проведен</w:t>
      </w:r>
      <w:r w:rsidR="00CC2A62">
        <w:rPr>
          <w:rStyle w:val="FontStyle27"/>
          <w:sz w:val="28"/>
          <w:szCs w:val="28"/>
        </w:rPr>
        <w:t>о</w:t>
      </w:r>
      <w:r w:rsidR="00A17620" w:rsidRPr="009F50FC">
        <w:rPr>
          <w:rStyle w:val="FontStyle27"/>
          <w:sz w:val="28"/>
          <w:szCs w:val="28"/>
        </w:rPr>
        <w:t xml:space="preserve"> </w:t>
      </w:r>
      <w:r w:rsidR="00CC2A62">
        <w:rPr>
          <w:rStyle w:val="FontStyle27"/>
          <w:sz w:val="28"/>
          <w:szCs w:val="28"/>
        </w:rPr>
        <w:t>2</w:t>
      </w:r>
      <w:r w:rsidR="00A17620" w:rsidRPr="009F50FC">
        <w:rPr>
          <w:rStyle w:val="FontStyle27"/>
          <w:sz w:val="28"/>
          <w:szCs w:val="28"/>
        </w:rPr>
        <w:t xml:space="preserve"> </w:t>
      </w:r>
      <w:r w:rsidR="00CC2A62" w:rsidRPr="009F50FC">
        <w:rPr>
          <w:rStyle w:val="FontStyle27"/>
          <w:sz w:val="28"/>
          <w:szCs w:val="28"/>
        </w:rPr>
        <w:t>внепланов</w:t>
      </w:r>
      <w:r w:rsidR="00CC2A62">
        <w:rPr>
          <w:rStyle w:val="FontStyle27"/>
          <w:sz w:val="28"/>
          <w:szCs w:val="28"/>
        </w:rPr>
        <w:t>ые</w:t>
      </w:r>
      <w:r w:rsidR="00A17620" w:rsidRPr="009F50FC">
        <w:rPr>
          <w:rStyle w:val="FontStyle27"/>
          <w:sz w:val="28"/>
          <w:szCs w:val="28"/>
        </w:rPr>
        <w:t xml:space="preserve"> выездн</w:t>
      </w:r>
      <w:r w:rsidR="00CC2A62">
        <w:rPr>
          <w:rStyle w:val="FontStyle27"/>
          <w:sz w:val="28"/>
          <w:szCs w:val="28"/>
        </w:rPr>
        <w:t>ые</w:t>
      </w:r>
      <w:r w:rsidR="001E5556">
        <w:rPr>
          <w:rStyle w:val="FontStyle27"/>
          <w:sz w:val="28"/>
          <w:szCs w:val="28"/>
        </w:rPr>
        <w:t xml:space="preserve"> проверк</w:t>
      </w:r>
      <w:r w:rsidR="00CC2A62">
        <w:rPr>
          <w:rStyle w:val="FontStyle27"/>
          <w:sz w:val="28"/>
          <w:szCs w:val="28"/>
        </w:rPr>
        <w:t>и</w:t>
      </w:r>
      <w:r w:rsidR="00A17620">
        <w:rPr>
          <w:rStyle w:val="FontStyle27"/>
          <w:sz w:val="28"/>
          <w:szCs w:val="28"/>
        </w:rPr>
        <w:t>. Осно</w:t>
      </w:r>
      <w:r w:rsidR="001E5556">
        <w:rPr>
          <w:rStyle w:val="FontStyle27"/>
          <w:sz w:val="28"/>
          <w:szCs w:val="28"/>
        </w:rPr>
        <w:t>ванием для проведения внеплановой</w:t>
      </w:r>
      <w:r w:rsidR="00A17620">
        <w:rPr>
          <w:rStyle w:val="FontStyle27"/>
          <w:sz w:val="28"/>
          <w:szCs w:val="28"/>
        </w:rPr>
        <w:t xml:space="preserve"> </w:t>
      </w:r>
      <w:r w:rsidR="00746376">
        <w:rPr>
          <w:rStyle w:val="FontStyle27"/>
          <w:sz w:val="28"/>
          <w:szCs w:val="28"/>
        </w:rPr>
        <w:t>проверки</w:t>
      </w:r>
      <w:r w:rsidR="00A17620">
        <w:rPr>
          <w:rStyle w:val="FontStyle27"/>
          <w:sz w:val="28"/>
          <w:szCs w:val="28"/>
        </w:rPr>
        <w:t xml:space="preserve">, </w:t>
      </w:r>
      <w:r w:rsidR="00D92AA2">
        <w:rPr>
          <w:rStyle w:val="FontStyle27"/>
          <w:sz w:val="28"/>
          <w:szCs w:val="28"/>
        </w:rPr>
        <w:t xml:space="preserve">являлось поступление в орган муниципального контроля обращений граждан, органов местного самоуправления о фактах, </w:t>
      </w:r>
      <w:r w:rsidR="00A17620">
        <w:rPr>
          <w:rStyle w:val="FontStyle27"/>
          <w:sz w:val="28"/>
          <w:szCs w:val="28"/>
        </w:rPr>
        <w:t>указывающих на нарушение земельных правоотношений и свидетельствующих о наличии признаков нарушения земельного законодательства</w:t>
      </w:r>
      <w:r w:rsidR="00D92AA2">
        <w:rPr>
          <w:rStyle w:val="FontStyle27"/>
          <w:sz w:val="28"/>
          <w:szCs w:val="28"/>
        </w:rPr>
        <w:t xml:space="preserve">. </w:t>
      </w:r>
    </w:p>
    <w:p w:rsidR="00FF1AE6" w:rsidRDefault="00D92AA2" w:rsidP="00D92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земельному контролю не привлекались. </w:t>
      </w:r>
    </w:p>
    <w:p w:rsidR="00D92AA2" w:rsidRPr="00D92AA2" w:rsidRDefault="00D92AA2" w:rsidP="00D92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7"/>
          <w:sz w:val="10"/>
          <w:szCs w:val="10"/>
        </w:rPr>
      </w:pPr>
    </w:p>
    <w:p w:rsidR="00FF1AE6" w:rsidRDefault="00FF1AE6" w:rsidP="00FF1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E43195" w:rsidRDefault="00E43195" w:rsidP="00E43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6376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 году факт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 оспаривания в суде юридическими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ицами, 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предпринимателями, физическими лицами оснований и результатов проведения в отношении их уполномоченными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Pr="00E4319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не зафиксировано. </w:t>
      </w:r>
    </w:p>
    <w:p w:rsidR="00181ACE" w:rsidRDefault="00181ACE" w:rsidP="00181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E5556" w:rsidRDefault="001E5556" w:rsidP="00181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E5556" w:rsidRDefault="001E5556" w:rsidP="00181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E5556" w:rsidRPr="00181ACE" w:rsidRDefault="001E5556" w:rsidP="00181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lastRenderedPageBreak/>
        <w:t>6.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4F68DA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</w:t>
            </w:r>
            <w:r w:rsidR="004F68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  (плановых и  внеплановых)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4F68DA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D558E7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4F68DA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контролю за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4F68DA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4F68DA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4F68DA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C5333E" w:rsidP="00C5333E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C5333E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A53106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C5333E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административных штрафов (тыс.</w:t>
            </w:r>
            <w:r w:rsidR="005F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A53106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33E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C5333E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исков в суд в защиту прав и законных интересов неопределенного круга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9F50FC" w:rsidRDefault="00A53106" w:rsidP="00C5333E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C5333E" w:rsidP="00C533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C5333E" w:rsidP="00C533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 исковых требований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A53106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1ACE" w:rsidRDefault="00181ACE" w:rsidP="00A53106">
      <w:pPr>
        <w:rPr>
          <w:rFonts w:ascii="Times New Roman" w:hAnsi="Times New Roman" w:cs="Times New Roman"/>
          <w:b/>
          <w:sz w:val="28"/>
          <w:szCs w:val="28"/>
        </w:rPr>
      </w:pPr>
    </w:p>
    <w:p w:rsidR="00B92528" w:rsidRPr="008E4710" w:rsidRDefault="00B92528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10">
        <w:rPr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контроля.</w:t>
      </w:r>
    </w:p>
    <w:p w:rsidR="00E77544" w:rsidRPr="008E4710" w:rsidRDefault="00E77544" w:rsidP="00E77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C34685" w:rsidRPr="008E4710" w:rsidRDefault="00E77544" w:rsidP="00C34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8E4710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8E4710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на </w:t>
      </w:r>
      <w:r w:rsidR="00011976" w:rsidRPr="008E4710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 Магаданской области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34685">
        <w:rPr>
          <w:rFonts w:ascii="Times New Roman" w:hAnsi="Times New Roman" w:cs="Times New Roman"/>
          <w:sz w:val="28"/>
          <w:szCs w:val="28"/>
        </w:rPr>
        <w:t>о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 </w:t>
      </w:r>
      <w:r w:rsidR="00C34685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законодательства в области проведения муниципального контроля.  </w:t>
      </w:r>
    </w:p>
    <w:p w:rsidR="00B92528" w:rsidRPr="008E4710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8E4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</w:t>
      </w:r>
      <w:r w:rsidR="00C34685" w:rsidRPr="008E4710">
        <w:rPr>
          <w:rFonts w:ascii="Times New Roman" w:hAnsi="Times New Roman" w:cs="Times New Roman"/>
          <w:sz w:val="28"/>
          <w:szCs w:val="28"/>
        </w:rPr>
        <w:t>области необходимо</w:t>
      </w:r>
      <w:r w:rsidRPr="008E4710">
        <w:rPr>
          <w:rFonts w:ascii="Times New Roman" w:hAnsi="Times New Roman" w:cs="Times New Roman"/>
          <w:sz w:val="28"/>
          <w:szCs w:val="28"/>
        </w:rPr>
        <w:t xml:space="preserve"> считать:</w:t>
      </w:r>
    </w:p>
    <w:p w:rsidR="00B92528" w:rsidRPr="008E4710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E2389" w:rsidRPr="008E4710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10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9E642B" w:rsidRPr="00DD6088" w:rsidRDefault="00D558E7" w:rsidP="00DD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 разработаны ежегодные планы проведения плановых проверок юридических лиц и индивидуальных предпринимателей пр</w:t>
      </w:r>
      <w:r w:rsidR="008E4710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жилищного контроля </w:t>
      </w:r>
      <w:r w:rsidR="00B92528" w:rsidRPr="008E4710">
        <w:rPr>
          <w:rFonts w:ascii="Times New Roman" w:hAnsi="Times New Roman" w:cs="Times New Roman"/>
          <w:sz w:val="28"/>
          <w:szCs w:val="28"/>
        </w:rPr>
        <w:t xml:space="preserve">и муниципального земельного контроля. </w:t>
      </w:r>
      <w:r w:rsidR="009E642B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по муниципальному жилищному контролю согласован с Государственной жилищной инспекцией </w:t>
      </w:r>
      <w:r w:rsidR="009E642B" w:rsidRPr="008323D6">
        <w:rPr>
          <w:rFonts w:ascii="Times New Roman" w:hAnsi="Times New Roman" w:cs="Times New Roman"/>
          <w:sz w:val="28"/>
          <w:szCs w:val="28"/>
        </w:rPr>
        <w:t>Магад</w:t>
      </w:r>
      <w:r w:rsidR="001752AC" w:rsidRPr="008323D6">
        <w:rPr>
          <w:rFonts w:ascii="Times New Roman" w:hAnsi="Times New Roman" w:cs="Times New Roman"/>
          <w:sz w:val="28"/>
          <w:szCs w:val="28"/>
        </w:rPr>
        <w:t xml:space="preserve">анской области и </w:t>
      </w:r>
      <w:r w:rsidR="00C95209" w:rsidRPr="008323D6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1752AC" w:rsidRPr="008323D6">
        <w:rPr>
          <w:rFonts w:ascii="Times New Roman" w:hAnsi="Times New Roman" w:cs="Times New Roman"/>
          <w:sz w:val="28"/>
          <w:szCs w:val="28"/>
        </w:rPr>
        <w:t xml:space="preserve">. </w:t>
      </w:r>
      <w:r w:rsidR="009E642B" w:rsidRPr="008323D6">
        <w:rPr>
          <w:rFonts w:ascii="Times New Roman" w:hAnsi="Times New Roman" w:cs="Times New Roman"/>
          <w:sz w:val="28"/>
          <w:szCs w:val="28"/>
        </w:rPr>
        <w:t>В согласовании плана проверок на 2020 год</w:t>
      </w:r>
      <w:r w:rsidR="001752AC" w:rsidRPr="008323D6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="009E642B" w:rsidRPr="008323D6">
        <w:rPr>
          <w:rFonts w:ascii="Times New Roman" w:hAnsi="Times New Roman" w:cs="Times New Roman"/>
          <w:sz w:val="28"/>
          <w:szCs w:val="28"/>
        </w:rPr>
        <w:t xml:space="preserve"> было отказано Управлением Роср</w:t>
      </w:r>
      <w:bookmarkStart w:id="0" w:name="_GoBack"/>
      <w:bookmarkEnd w:id="0"/>
      <w:r w:rsidR="009E642B" w:rsidRPr="008323D6">
        <w:rPr>
          <w:rFonts w:ascii="Times New Roman" w:hAnsi="Times New Roman" w:cs="Times New Roman"/>
          <w:sz w:val="28"/>
          <w:szCs w:val="28"/>
        </w:rPr>
        <w:t xml:space="preserve">еестра по Магаданской области и Чукотскому автономному округу по причине того, что </w:t>
      </w:r>
      <w:r w:rsidR="001752AC" w:rsidRPr="008323D6">
        <w:rPr>
          <w:rFonts w:ascii="Times New Roman" w:hAnsi="Times New Roman" w:cs="Times New Roman"/>
          <w:sz w:val="28"/>
          <w:szCs w:val="28"/>
        </w:rPr>
        <w:t>включенны</w:t>
      </w:r>
      <w:r w:rsidR="00DD6088" w:rsidRPr="008323D6">
        <w:rPr>
          <w:rFonts w:ascii="Times New Roman" w:hAnsi="Times New Roman" w:cs="Times New Roman"/>
          <w:sz w:val="28"/>
          <w:szCs w:val="28"/>
        </w:rPr>
        <w:t xml:space="preserve">е </w:t>
      </w:r>
      <w:r w:rsidR="001752AC" w:rsidRPr="008323D6">
        <w:rPr>
          <w:rFonts w:ascii="Times New Roman" w:hAnsi="Times New Roman" w:cs="Times New Roman"/>
          <w:sz w:val="28"/>
          <w:szCs w:val="28"/>
        </w:rPr>
        <w:t>в план</w:t>
      </w:r>
      <w:r w:rsidR="00DD6088" w:rsidRPr="008323D6">
        <w:rPr>
          <w:rFonts w:ascii="Times New Roman" w:hAnsi="Times New Roman" w:cs="Times New Roman"/>
          <w:sz w:val="28"/>
          <w:szCs w:val="28"/>
        </w:rPr>
        <w:t xml:space="preserve"> лица, относятся</w:t>
      </w:r>
      <w:r w:rsidR="009E642B" w:rsidRPr="008323D6">
        <w:rPr>
          <w:rFonts w:ascii="Times New Roman" w:hAnsi="Times New Roman" w:cs="Times New Roman"/>
          <w:sz w:val="28"/>
          <w:szCs w:val="28"/>
        </w:rPr>
        <w:t xml:space="preserve"> к мал</w:t>
      </w:r>
      <w:r w:rsidR="00DD6088" w:rsidRPr="008323D6">
        <w:rPr>
          <w:rFonts w:ascii="Times New Roman" w:hAnsi="Times New Roman" w:cs="Times New Roman"/>
          <w:sz w:val="28"/>
          <w:szCs w:val="28"/>
        </w:rPr>
        <w:t>ым</w:t>
      </w:r>
      <w:r w:rsidR="009E642B" w:rsidRPr="008323D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D6088" w:rsidRPr="008323D6">
        <w:rPr>
          <w:rFonts w:ascii="Times New Roman" w:hAnsi="Times New Roman" w:cs="Times New Roman"/>
          <w:sz w:val="28"/>
          <w:szCs w:val="28"/>
        </w:rPr>
        <w:t>ям</w:t>
      </w:r>
      <w:r w:rsidR="009E642B" w:rsidRPr="008323D6">
        <w:rPr>
          <w:rFonts w:ascii="Times New Roman" w:hAnsi="Times New Roman" w:cs="Times New Roman"/>
          <w:sz w:val="28"/>
          <w:szCs w:val="28"/>
        </w:rPr>
        <w:t>. Проведение плановых проверок в отношении данн</w:t>
      </w:r>
      <w:r w:rsidR="00DD6088" w:rsidRPr="008323D6">
        <w:rPr>
          <w:rFonts w:ascii="Times New Roman" w:hAnsi="Times New Roman" w:cs="Times New Roman"/>
          <w:sz w:val="28"/>
          <w:szCs w:val="28"/>
        </w:rPr>
        <w:t>ых лиц</w:t>
      </w:r>
      <w:r w:rsidR="009E642B" w:rsidRPr="008323D6">
        <w:rPr>
          <w:rFonts w:ascii="Times New Roman" w:hAnsi="Times New Roman" w:cs="Times New Roman"/>
          <w:sz w:val="28"/>
          <w:szCs w:val="28"/>
        </w:rPr>
        <w:t xml:space="preserve"> будет являться грубым нарушением требований законодательства о государственном контроле и влечет недействительность результатов проверок в соответствии с ч.1 ст.20 Федерального закона «О защите прав юридических </w:t>
      </w:r>
      <w:r w:rsidR="009E642B" w:rsidRPr="008323D6">
        <w:rPr>
          <w:rFonts w:ascii="Times New Roman" w:hAnsi="Times New Roman" w:cs="Times New Roman"/>
          <w:sz w:val="28"/>
          <w:szCs w:val="28"/>
        </w:rPr>
        <w:lastRenderedPageBreak/>
        <w:t>лиц и</w:t>
      </w:r>
      <w:r w:rsidR="009E642B" w:rsidRPr="009E642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9E642B" w:rsidRPr="009E642B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9E642B" w:rsidRPr="009E642B">
        <w:rPr>
          <w:rFonts w:ascii="Times New Roman" w:hAnsi="Times New Roman" w:cs="Times New Roman"/>
          <w:sz w:val="28"/>
          <w:szCs w:val="28"/>
        </w:rPr>
        <w:t xml:space="preserve">» от 26 декабря 2008 года № 294-ФЗ. </w:t>
      </w:r>
    </w:p>
    <w:p w:rsidR="009E642B" w:rsidRPr="009E642B" w:rsidRDefault="009E642B" w:rsidP="0001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D9" w:rsidRDefault="00523AD9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D558E7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6EE6" w:rsidRPr="009F50F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</w:t>
      </w:r>
      <w:r w:rsidR="000119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  </w:t>
      </w:r>
      <w:r w:rsidR="0001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Авраменко</w:t>
      </w:r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3"/>
    <w:rsid w:val="00000B41"/>
    <w:rsid w:val="00011976"/>
    <w:rsid w:val="00020972"/>
    <w:rsid w:val="00026CE4"/>
    <w:rsid w:val="00080874"/>
    <w:rsid w:val="000967EB"/>
    <w:rsid w:val="000C5365"/>
    <w:rsid w:val="000E63AB"/>
    <w:rsid w:val="00100E5F"/>
    <w:rsid w:val="001732BB"/>
    <w:rsid w:val="001752AC"/>
    <w:rsid w:val="00181ACE"/>
    <w:rsid w:val="001E39A3"/>
    <w:rsid w:val="001E5556"/>
    <w:rsid w:val="001F3336"/>
    <w:rsid w:val="001F7930"/>
    <w:rsid w:val="00206972"/>
    <w:rsid w:val="0021236C"/>
    <w:rsid w:val="00224277"/>
    <w:rsid w:val="00241C16"/>
    <w:rsid w:val="002431CC"/>
    <w:rsid w:val="0028421B"/>
    <w:rsid w:val="002C6069"/>
    <w:rsid w:val="002C6588"/>
    <w:rsid w:val="002D17A8"/>
    <w:rsid w:val="002F2FE0"/>
    <w:rsid w:val="00305565"/>
    <w:rsid w:val="003166D3"/>
    <w:rsid w:val="0032181F"/>
    <w:rsid w:val="0032566A"/>
    <w:rsid w:val="003279E5"/>
    <w:rsid w:val="003512E2"/>
    <w:rsid w:val="003545CA"/>
    <w:rsid w:val="00360250"/>
    <w:rsid w:val="00360AA5"/>
    <w:rsid w:val="003B14DF"/>
    <w:rsid w:val="003D5BBC"/>
    <w:rsid w:val="003E2389"/>
    <w:rsid w:val="004112EA"/>
    <w:rsid w:val="00463953"/>
    <w:rsid w:val="00477D0D"/>
    <w:rsid w:val="00484FF5"/>
    <w:rsid w:val="0049710F"/>
    <w:rsid w:val="004C24B6"/>
    <w:rsid w:val="004C6F2B"/>
    <w:rsid w:val="004D0741"/>
    <w:rsid w:val="004E168E"/>
    <w:rsid w:val="004F68DA"/>
    <w:rsid w:val="0050720F"/>
    <w:rsid w:val="00523AD9"/>
    <w:rsid w:val="00530EC3"/>
    <w:rsid w:val="00560857"/>
    <w:rsid w:val="00562A4D"/>
    <w:rsid w:val="00566C39"/>
    <w:rsid w:val="0057215A"/>
    <w:rsid w:val="00592E17"/>
    <w:rsid w:val="005A2BAA"/>
    <w:rsid w:val="005A60A3"/>
    <w:rsid w:val="005C38BF"/>
    <w:rsid w:val="005E00C5"/>
    <w:rsid w:val="005F080F"/>
    <w:rsid w:val="00616EE6"/>
    <w:rsid w:val="00623E61"/>
    <w:rsid w:val="006758BA"/>
    <w:rsid w:val="00681961"/>
    <w:rsid w:val="006B4D42"/>
    <w:rsid w:val="006B7312"/>
    <w:rsid w:val="006C3E50"/>
    <w:rsid w:val="007052ED"/>
    <w:rsid w:val="00706042"/>
    <w:rsid w:val="0071368A"/>
    <w:rsid w:val="00740B1E"/>
    <w:rsid w:val="00746376"/>
    <w:rsid w:val="00751C23"/>
    <w:rsid w:val="00754AF2"/>
    <w:rsid w:val="007856CB"/>
    <w:rsid w:val="007C6D96"/>
    <w:rsid w:val="007D3A8B"/>
    <w:rsid w:val="0080352A"/>
    <w:rsid w:val="00807943"/>
    <w:rsid w:val="00817332"/>
    <w:rsid w:val="00827934"/>
    <w:rsid w:val="008323D6"/>
    <w:rsid w:val="00864A3C"/>
    <w:rsid w:val="00867FE4"/>
    <w:rsid w:val="0087126A"/>
    <w:rsid w:val="008913EC"/>
    <w:rsid w:val="00892D42"/>
    <w:rsid w:val="00897B5C"/>
    <w:rsid w:val="008C5114"/>
    <w:rsid w:val="008E4710"/>
    <w:rsid w:val="00903EC9"/>
    <w:rsid w:val="009210A6"/>
    <w:rsid w:val="00921749"/>
    <w:rsid w:val="00930F65"/>
    <w:rsid w:val="00973990"/>
    <w:rsid w:val="00983D57"/>
    <w:rsid w:val="009A126E"/>
    <w:rsid w:val="009B6243"/>
    <w:rsid w:val="009C2256"/>
    <w:rsid w:val="009E642B"/>
    <w:rsid w:val="009F50FC"/>
    <w:rsid w:val="00A01A1F"/>
    <w:rsid w:val="00A049A2"/>
    <w:rsid w:val="00A17620"/>
    <w:rsid w:val="00A248CA"/>
    <w:rsid w:val="00A53106"/>
    <w:rsid w:val="00A557B0"/>
    <w:rsid w:val="00A55D0A"/>
    <w:rsid w:val="00A8024C"/>
    <w:rsid w:val="00AF25E7"/>
    <w:rsid w:val="00AF5279"/>
    <w:rsid w:val="00B0588E"/>
    <w:rsid w:val="00B27901"/>
    <w:rsid w:val="00B30102"/>
    <w:rsid w:val="00B40741"/>
    <w:rsid w:val="00B60D72"/>
    <w:rsid w:val="00B84B64"/>
    <w:rsid w:val="00B92528"/>
    <w:rsid w:val="00B96EFE"/>
    <w:rsid w:val="00BA4698"/>
    <w:rsid w:val="00C01624"/>
    <w:rsid w:val="00C01F56"/>
    <w:rsid w:val="00C04DE3"/>
    <w:rsid w:val="00C2155A"/>
    <w:rsid w:val="00C25CB3"/>
    <w:rsid w:val="00C34685"/>
    <w:rsid w:val="00C5333E"/>
    <w:rsid w:val="00C57F44"/>
    <w:rsid w:val="00C656F1"/>
    <w:rsid w:val="00C83A9A"/>
    <w:rsid w:val="00C92066"/>
    <w:rsid w:val="00C95209"/>
    <w:rsid w:val="00C96B82"/>
    <w:rsid w:val="00CC2A62"/>
    <w:rsid w:val="00CD58F1"/>
    <w:rsid w:val="00CF3BF0"/>
    <w:rsid w:val="00D07084"/>
    <w:rsid w:val="00D1295D"/>
    <w:rsid w:val="00D463B1"/>
    <w:rsid w:val="00D51E89"/>
    <w:rsid w:val="00D558E7"/>
    <w:rsid w:val="00D73CA6"/>
    <w:rsid w:val="00D857E3"/>
    <w:rsid w:val="00D92AA2"/>
    <w:rsid w:val="00D95890"/>
    <w:rsid w:val="00DC0B3A"/>
    <w:rsid w:val="00DD559E"/>
    <w:rsid w:val="00DD6088"/>
    <w:rsid w:val="00E13969"/>
    <w:rsid w:val="00E23AFD"/>
    <w:rsid w:val="00E43195"/>
    <w:rsid w:val="00E45B6D"/>
    <w:rsid w:val="00E77544"/>
    <w:rsid w:val="00EA5558"/>
    <w:rsid w:val="00EB01F3"/>
    <w:rsid w:val="00EB37AD"/>
    <w:rsid w:val="00F25E77"/>
    <w:rsid w:val="00F50D31"/>
    <w:rsid w:val="00F54B8B"/>
    <w:rsid w:val="00F572F5"/>
    <w:rsid w:val="00F73A88"/>
    <w:rsid w:val="00FA13EB"/>
    <w:rsid w:val="00FD350B"/>
    <w:rsid w:val="00FF1AE6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17DF-D29E-4A13-9C7A-145B3AC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3B14D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Авраменко Александр Александрович</cp:lastModifiedBy>
  <cp:revision>7</cp:revision>
  <cp:lastPrinted>2016-07-06T23:03:00Z</cp:lastPrinted>
  <dcterms:created xsi:type="dcterms:W3CDTF">2019-12-23T23:58:00Z</dcterms:created>
  <dcterms:modified xsi:type="dcterms:W3CDTF">2020-02-06T05:00:00Z</dcterms:modified>
</cp:coreProperties>
</file>